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a="http://schemas.openxmlformats.org/drawingml/2006/main" xmlns:pic="http://schemas.openxmlformats.org/drawingml/2006/pictur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CFO office process guide</w:t>
      </w:r>
    </w:p>
    <w:p>
      <w:pPr>
        <w:pStyle w:val="Heading1"/>
      </w:pPr>
      <w:r>
        <w:t xml:space="preserve">About this version</w:t>
      </w:r>
    </w:p>
    <w:p>
      <w:pPr>
        <w:spacing w:after="140"/>
      </w:pPr>
      <w:r>
        <w:t xml:space="preserve">This guide has three parts. Part A, processes 1 to 10, describes how the CFO office works today. Part B records the systems, integrations and spreadsheets those processes run on. Part C proposes where agents could help, built on Parts A and B. Part C is a proposal, not current practice.</w:t>
      </w:r>
    </w:p>
    <w:p>
      <w:r>
        <w:rPr>
          <w:b/>
        </w:rPr>
        <w:t xml:space="preserve">Completing the as-is detail: </w:t>
      </w:r>
      <w:r>
        <w:t xml:space="preserve">Items in </w:t>
      </w:r>
      <w:r>
        <w:rPr>
          <w:highlight w:val="yellow"/>
        </w:rPr>
        <w:t xml:space="preserve">[highlighted brackets]</w:t>
      </w:r>
      <w:r>
        <w:t xml:space="preserve"> are facts to confirm with process and system owners. Replace each with the current answer, including where work happens in spreadsheets or email. Where practice differs from policy, record what actually happens; those gaps are where improvement, including any agent support, should start.</w:t>
      </w:r>
    </w:p>
    <w:p>
      <w:r>
        <w:rPr>
          <w:b/>
        </w:rPr>
        <w:t xml:space="preserve">Numbering: </w:t>
      </w:r>
      <w:r>
        <w:t xml:space="preserve">Numbers in brackets refer to process numbers, not pages. T codes refer to the systems inventory in Part B; E codes refer to data exchanges. The ten processes share finance systems, master data and approval rights. Part A describes today’s work under these original ten processes; the SOPs and the simulation use nine processes aligned with the SOPs (see Processes aligned with the SOPs in Part C).</w:t>
      </w:r>
    </w:p>
    <w:p>
      <w:pPr>
        <w:pStyle w:val="Heading2"/>
      </w:pPr>
      <w:r>
        <w:t xml:space="preserve">Changes in this version</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400"/>
        <w:gridCol w:w="7824"/>
      </w:tblGrid>
      <w:tr>
        <w:trPr>
          <w:tblHeader/>
        </w:trPr>
        <w:tc>
          <w:tcPr>
            <w:tcW w:type="dxa" w:w="2400"/>
            <w:shd w:val="clear" w:color="auto" w:fill="DCE6F1"/>
            <w:vAlign w:val="center"/>
          </w:tcPr>
          <w:p>
            <w:pPr>
              <w:spacing w:after="0" w:before="0" w:line="240" w:lineRule="auto"/>
            </w:pPr>
            <w:r>
              <w:rPr>
                <w:b/>
                <w:color w:val="000000"/>
                <w:sz w:val="20"/>
              </w:rPr>
              <w:t xml:space="preserve">Area</w:t>
            </w:r>
          </w:p>
        </w:tc>
        <w:tc>
          <w:tcPr>
            <w:tcW w:type="dxa" w:w="7824"/>
            <w:shd w:val="clear" w:color="auto" w:fill="DCE6F1"/>
            <w:vAlign w:val="center"/>
          </w:tcPr>
          <w:p>
            <w:pPr>
              <w:spacing w:after="0" w:before="0" w:line="240" w:lineRule="auto"/>
            </w:pPr>
            <w:r>
              <w:rPr>
                <w:b/>
                <w:color w:val="000000"/>
                <w:sz w:val="20"/>
              </w:rPr>
              <w:t xml:space="preserve">Change</w:t>
            </w:r>
          </w:p>
        </w:tc>
      </w:tr>
      <w:tr>
        <w:trPr>
          <w:cantSplit/>
        </w:trPr>
        <w:tc>
          <w:tcPr>
            <w:tcW w:type="dxa" w:w="2400"/>
            <w:vAlign w:val="center"/>
          </w:tcPr>
          <w:p>
            <w:pPr>
              <w:spacing w:after="0" w:before="0" w:line="240" w:lineRule="auto"/>
            </w:pPr>
            <w:r>
              <w:rPr>
                <w:b/>
                <w:color w:val="000000"/>
                <w:sz w:val="20"/>
              </w:rPr>
              <w:t xml:space="preserve">Processes 1 to 10</w:t>
            </w:r>
          </w:p>
        </w:tc>
        <w:tc>
          <w:tcPr>
            <w:tcW w:type="dxa" w:w="7824"/>
            <w:vAlign w:val="center"/>
          </w:tcPr>
          <w:p>
            <w:pPr>
              <w:spacing w:after="0" w:before="0" w:line="240" w:lineRule="auto"/>
            </w:pPr>
            <w:r>
              <w:rPr>
                <w:color w:val="000000"/>
                <w:sz w:val="20"/>
              </w:rPr>
              <w:t xml:space="preserve">Added a System today column to every process flow, a Current practice and workarounds paragraph, and confirmable cadence facts in place of generic descriptions. Corrected the title of process 8.</w:t>
            </w:r>
          </w:p>
        </w:tc>
      </w:tr>
      <w:tr>
        <w:trPr>
          <w:cantSplit/>
        </w:trPr>
        <w:tc>
          <w:tcPr>
            <w:tcW w:type="dxa" w:w="2400"/>
            <w:vAlign w:val="center"/>
          </w:tcPr>
          <w:p>
            <w:pPr>
              <w:spacing w:after="0" w:before="0" w:line="240" w:lineRule="auto"/>
            </w:pPr>
            <w:r>
              <w:rPr>
                <w:b/>
                <w:color w:val="000000"/>
                <w:sz w:val="20"/>
              </w:rPr>
              <w:t xml:space="preserve">Systems</w:t>
            </w:r>
          </w:p>
        </w:tc>
        <w:tc>
          <w:tcPr>
            <w:tcW w:type="dxa" w:w="7824"/>
            <w:vAlign w:val="center"/>
          </w:tcPr>
          <w:p>
            <w:pPr>
              <w:spacing w:after="0" w:before="0" w:line="240" w:lineRule="auto"/>
            </w:pPr>
            <w:r>
              <w:rPr>
                <w:color w:val="000000"/>
                <w:sz w:val="20"/>
              </w:rPr>
              <w:t xml:space="preserve">Added a systems inventory and a register of key spreadsheets. Added categories T8 to T13 (master data, document capture, bank connectivity, BI, spreadsheets, identity and access) and exchanges E11 to E14. Redrew the systems diagram. Added an integration register.</w:t>
            </w:r>
          </w:p>
        </w:tc>
      </w:tr>
      <w:tr>
        <w:trPr>
          <w:cantSplit/>
        </w:trPr>
        <w:tc>
          <w:tcPr>
            <w:tcW w:type="dxa" w:w="2400"/>
            <w:vAlign w:val="center"/>
          </w:tcPr>
          <w:p>
            <w:pPr>
              <w:spacing w:after="0" w:before="0" w:line="240" w:lineRule="auto"/>
            </w:pPr>
            <w:r>
              <w:rPr>
                <w:b/>
                <w:color w:val="000000"/>
                <w:sz w:val="20"/>
              </w:rPr>
              <w:t xml:space="preserve">Code review fixes and restructuring</w:t>
            </w:r>
          </w:p>
        </w:tc>
        <w:tc>
          <w:tcPr>
            <w:tcW w:type="dxa" w:w="7824"/>
            <w:vAlign w:val="center"/>
          </w:tcPr>
          <w:p>
            <w:pPr>
              <w:spacing w:after="0" w:before="0" w:line="240" w:lineRule="auto"/>
            </w:pPr>
            <w:r>
              <w:rPr>
                <w:color w:val="000000"/>
                <w:sz w:val="20"/>
              </w:rPr>
              <w:t xml:space="preserve">Fixed all 18 findings of the full code review: stable task identities (key and route, not wording) so editing one allocation keeps the others; one definition of every manual journal for both posting and approval (holiday pay now gated); escaped names; one rule per setting with full scenario validation and migration; dependencies rebuilt after task moves; cycle checks over all dependency tags; reimbursements gated by their own claims batch; one minute resolver for editor and engine; complete cash-flow lines; time used without double-counted backlog; service effort for every required stage; unreached milestones kept unreached; provenance for year and capacity views; analyses locked to one configuration; event logs tied to their run; walkthroughs matched to the plan; walkthrough pause and resume; shared transaction identities for paired randomness. Variability-off arrivals are now even rather than seeded, which moves today’s modelled close to day 8. Source split into modules with a build script and formatted, verified by identical event and ledger fingerprints. 66 acceptance gates.</w:t>
            </w:r>
          </w:p>
        </w:tc>
      </w:tr>
      <w:tr>
        <w:trPr>
          <w:cantSplit/>
        </w:trPr>
        <w:tc>
          <w:tcPr>
            <w:tcW w:type="dxa" w:w="2400"/>
            <w:vAlign w:val="center"/>
          </w:tcPr>
          <w:p>
            <w:pPr>
              <w:spacing w:after="0" w:before="0" w:line="240" w:lineRule="auto"/>
            </w:pPr>
            <w:r>
              <w:rPr>
                <w:b/>
                <w:color w:val="000000"/>
                <w:sz w:val="20"/>
              </w:rPr>
              <w:t xml:space="preserve">Processes aligned with the SOPs</w:t>
            </w:r>
          </w:p>
        </w:tc>
        <w:tc>
          <w:tcPr>
            <w:tcW w:type="dxa" w:w="7824"/>
            <w:vAlign w:val="center"/>
          </w:tcPr>
          <w:p>
            <w:pPr>
              <w:spacing w:after="0" w:before="0" w:line="240" w:lineRule="auto"/>
            </w:pPr>
            <w:r>
              <w:rPr>
                <w:color w:val="000000"/>
                <w:sz w:val="20"/>
              </w:rPr>
              <w:t xml:space="preserve">Replaced the ten processes with nine end-to-end processes, each a group of whole SOPs: governance and control, procure to pay, order to cash, treasury and cash, payroll, record to report, plan and analyse, tax, and year-end and audit. Service targets carried over from the nearest original process. Part A keeps the original ten as the description of today’s work. A gate checks every task sits in its SOP’s process (50 gates in total).</w:t>
            </w:r>
          </w:p>
        </w:tc>
      </w:tr>
      <w:tr>
        <w:trPr>
          <w:cantSplit/>
        </w:trPr>
        <w:tc>
          <w:tcPr>
            <w:tcW w:type="dxa" w:w="2400"/>
            <w:vAlign w:val="center"/>
          </w:tcPr>
          <w:p>
            <w:pPr>
              <w:spacing w:after="0" w:before="0" w:line="240" w:lineRule="auto"/>
            </w:pPr>
            <w:r>
              <w:rPr>
                <w:b/>
                <w:color w:val="000000"/>
                <w:sz w:val="20"/>
              </w:rPr>
              <w:t xml:space="preserve">Playbooks aligned with the SOPs</w:t>
            </w:r>
          </w:p>
        </w:tc>
        <w:tc>
          <w:tcPr>
            <w:tcW w:type="dxa" w:w="7824"/>
            <w:vAlign w:val="center"/>
          </w:tcPr>
          <w:p>
            <w:pPr>
              <w:spacing w:after="0" w:before="0" w:line="240" w:lineRule="auto"/>
            </w:pPr>
            <w:r>
              <w:rPr>
                <w:color w:val="000000"/>
                <w:sz w:val="20"/>
              </w:rPr>
              <w:t xml:space="preserve">Replaced the ten process playbooks (A1 to A10) with one playbook per SOP (PB-01 to PB-16), owned by the SOP owner. Hierarchy: organisation, SOPs, playbooks, tasks. The SOP governs every approver; playbooks only describe agent preparation. Every task carries its SOP in the simulation and the inventory; four acceptance gates test the hierarchy (49 in total).</w:t>
            </w:r>
          </w:p>
        </w:tc>
      </w:tr>
      <w:tr>
        <w:trPr>
          <w:cantSplit/>
        </w:trPr>
        <w:tc>
          <w:tcPr>
            <w:tcW w:type="dxa" w:w="2400"/>
            <w:vAlign w:val="center"/>
          </w:tcPr>
          <w:p>
            <w:pPr>
              <w:spacing w:after="0" w:before="0" w:line="240" w:lineRule="auto"/>
            </w:pPr>
            <w:r>
              <w:rPr>
                <w:b/>
                <w:color w:val="000000"/>
                <w:sz w:val="20"/>
              </w:rPr>
              <w:t xml:space="preserve">Agent design</w:t>
            </w:r>
          </w:p>
        </w:tc>
        <w:tc>
          <w:tcPr>
            <w:tcW w:type="dxa" w:w="7824"/>
            <w:vAlign w:val="center"/>
          </w:tcPr>
          <w:p>
            <w:pPr>
              <w:spacing w:after="0" w:before="0" w:line="240" w:lineRule="auto"/>
            </w:pPr>
            <w:r>
              <w:rPr>
                <w:color w:val="000000"/>
                <w:sz w:val="20"/>
              </w:rPr>
              <w:t xml:space="preserve">Replaced twelve process-aligned agent roles with deterministic workflow and data checks, four task-shaped agents and process playbooks.</w:t>
            </w:r>
          </w:p>
        </w:tc>
      </w:tr>
      <w:tr>
        <w:trPr>
          <w:cantSplit/>
        </w:trPr>
        <w:tc>
          <w:tcPr>
            <w:tcW w:type="dxa" w:w="2400"/>
            <w:vAlign w:val="center"/>
          </w:tcPr>
          <w:p>
            <w:pPr>
              <w:spacing w:after="0" w:before="0" w:line="240" w:lineRule="auto"/>
            </w:pPr>
            <w:r>
              <w:rPr>
                <w:b/>
                <w:color w:val="000000"/>
                <w:sz w:val="20"/>
              </w:rPr>
              <w:t xml:space="preserve">Handoffs</w:t>
            </w:r>
          </w:p>
        </w:tc>
        <w:tc>
          <w:tcPr>
            <w:tcW w:type="dxa" w:w="7824"/>
            <w:vAlign w:val="center"/>
          </w:tcPr>
          <w:p>
            <w:pPr>
              <w:spacing w:after="0" w:before="0" w:line="240" w:lineRule="auto"/>
            </w:pPr>
            <w:r>
              <w:rPr>
                <w:color w:val="000000"/>
                <w:sz w:val="20"/>
              </w:rPr>
              <w:t xml:space="preserve">Agents no longer pass work to each other. Systems of record are the handoff, as they are today.</w:t>
            </w:r>
          </w:p>
        </w:tc>
      </w:tr>
      <w:tr>
        <w:trPr>
          <w:cantSplit/>
        </w:trPr>
        <w:tc>
          <w:tcPr>
            <w:tcW w:type="dxa" w:w="2400"/>
            <w:vAlign w:val="center"/>
          </w:tcPr>
          <w:p>
            <w:pPr>
              <w:spacing w:after="0" w:before="0" w:line="240" w:lineRule="auto"/>
            </w:pPr>
            <w:r>
              <w:rPr>
                <w:b/>
                <w:color w:val="000000"/>
                <w:sz w:val="20"/>
              </w:rPr>
              <w:t xml:space="preserve">Assurance</w:t>
            </w:r>
          </w:p>
        </w:tc>
        <w:tc>
          <w:tcPr>
            <w:tcW w:type="dxa" w:w="7824"/>
            <w:vAlign w:val="center"/>
          </w:tcPr>
          <w:p>
            <w:pPr>
              <w:spacing w:after="0" w:before="0" w:line="240" w:lineRule="auto"/>
            </w:pPr>
            <w:r>
              <w:rPr>
                <w:color w:val="000000"/>
                <w:sz w:val="20"/>
              </w:rPr>
              <w:t xml:space="preserve">An agent reviewing another agent is now described as a quality check, not independent review. Added sections on untrusted inputs, change control and data protection.</w:t>
            </w:r>
          </w:p>
        </w:tc>
      </w:tr>
      <w:tr>
        <w:trPr>
          <w:cantSplit/>
        </w:trPr>
        <w:tc>
          <w:tcPr>
            <w:tcW w:type="dxa" w:w="2400"/>
            <w:vAlign w:val="center"/>
          </w:tcPr>
          <w:p>
            <w:pPr>
              <w:spacing w:after="0" w:before="0" w:line="240" w:lineRule="auto"/>
            </w:pPr>
            <w:r>
              <w:rPr>
                <w:b/>
                <w:color w:val="000000"/>
                <w:sz w:val="20"/>
              </w:rPr>
              <w:t xml:space="preserve">Rollout</w:t>
            </w:r>
          </w:p>
        </w:tc>
        <w:tc>
          <w:tcPr>
            <w:tcW w:type="dxa" w:w="7824"/>
            <w:vAlign w:val="center"/>
          </w:tcPr>
          <w:p>
            <w:pPr>
              <w:spacing w:after="0" w:before="0" w:line="240" w:lineRule="auto"/>
            </w:pPr>
            <w:r>
              <w:rPr>
                <w:color w:val="000000"/>
                <w:sz w:val="20"/>
              </w:rPr>
              <w:t xml:space="preserve">Added phased use cases, baselines, test sets, autonomy levels and monitoring.</w:t>
            </w:r>
          </w:p>
        </w:tc>
      </w:tr>
      <w:tr>
        <w:trPr>
          <w:cantSplit/>
        </w:trPr>
        <w:tc>
          <w:tcPr>
            <w:tcW w:type="dxa" w:w="2400"/>
            <w:vAlign w:val="center"/>
          </w:tcPr>
          <w:p>
            <w:pPr>
              <w:spacing w:after="0" w:before="0" w:line="240" w:lineRule="auto"/>
            </w:pPr>
            <w:r>
              <w:rPr>
                <w:b/>
                <w:color w:val="000000"/>
                <w:sz w:val="20"/>
              </w:rPr>
              <w:t xml:space="preserve">Playbooks</w:t>
            </w:r>
          </w:p>
        </w:tc>
        <w:tc>
          <w:tcPr>
            <w:tcW w:type="dxa" w:w="7824"/>
            <w:vAlign w:val="center"/>
          </w:tcPr>
          <w:p>
            <w:pPr>
              <w:spacing w:after="0" w:before="0" w:line="240" w:lineRule="auto"/>
            </w:pPr>
            <w:r>
              <w:rPr>
                <w:color w:val="000000"/>
                <w:sz w:val="20"/>
              </w:rPr>
              <w:t xml:space="preserve">Added a Playbooks page: what each of the ten playbooks covers, its owner and day-to-day user, and a template for writing them.</w:t>
            </w:r>
          </w:p>
        </w:tc>
      </w:tr>
      <w:tr>
        <w:trPr>
          <w:cantSplit/>
        </w:trPr>
        <w:tc>
          <w:tcPr>
            <w:tcW w:type="dxa" w:w="2400"/>
            <w:vAlign w:val="center"/>
          </w:tcPr>
          <w:p>
            <w:pPr>
              <w:spacing w:after="0" w:before="0" w:line="240" w:lineRule="auto"/>
            </w:pPr>
            <w:r>
              <w:rPr>
                <w:b/>
                <w:color w:val="000000"/>
                <w:sz w:val="20"/>
              </w:rPr>
              <w:t xml:space="preserve">Comprehensive audit v2 fixes</w:t>
            </w:r>
          </w:p>
        </w:tc>
        <w:tc>
          <w:tcPr>
            <w:tcW w:type="dxa" w:w="7824"/>
            <w:vAlign w:val="center"/>
          </w:tcPr>
          <w:p>
            <w:pPr>
              <w:spacing w:after="0" w:before="0" w:line="240" w:lineRule="auto"/>
            </w:pPr>
            <w:r>
              <w:rPr>
                <w:color w:val="000000"/>
                <w:sz w:val="20"/>
              </w:rPr>
              <w:t xml:space="preserve">Addressed the comprehensive audit (version 2): deadlines with calendar due dates for every tax and filing obligation, P11Ds in June, reimbursements in the approved payment run, Financial Controller review of the cash forecast, board resolution for bank accounts, CFO visit for insurance, complete scenario files with atomic validation, a 12-month task catalogue, monthly schedule releases, new postings with a ledger-scope declaration, a complete event export, simultaneous meetings, provenance-checked comparisons, standard effort separated from service requested, the agent variation setting, zero weights and seasonality, conserved collections, system availability at zero processing time, the statutory accounts chain, payroll input sets and controlled replacement payments. Engine: same-time event ordering corrected; work in sessions of at most two hours. 45 acceptance gates; added a page responding to each finding.</w:t>
            </w:r>
          </w:p>
        </w:tc>
      </w:tr>
      <w:tr>
        <w:trPr>
          <w:cantSplit/>
        </w:trPr>
        <w:tc>
          <w:tcPr>
            <w:tcW w:type="dxa" w:w="2400"/>
            <w:vAlign w:val="center"/>
          </w:tcPr>
          <w:p>
            <w:pPr>
              <w:spacing w:after="0" w:before="0" w:line="240" w:lineRule="auto"/>
            </w:pPr>
            <w:r>
              <w:rPr>
                <w:b/>
                <w:color w:val="000000"/>
                <w:sz w:val="20"/>
              </w:rPr>
              <w:t xml:space="preserve">SOP conformity review fixes</w:t>
            </w:r>
          </w:p>
        </w:tc>
        <w:tc>
          <w:tcPr>
            <w:tcW w:type="dxa" w:w="7824"/>
            <w:vAlign w:val="center"/>
          </w:tcPr>
          <w:p>
            <w:pPr>
              <w:spacing w:after="0" w:before="0" w:line="240" w:lineRule="auto"/>
            </w:pPr>
            <w:r>
              <w:rPr>
                <w:color w:val="000000"/>
                <w:sz w:val="20"/>
              </w:rPr>
              <w:t xml:space="preserve">Fixed the six findings of the SOP conformity review: each manual journal above the threshold (£25,000, editable) is routed to the Financial Controller and cannot post until approved, replacing a separate count of approvals; the budget loads only after the board-approval milestone, with the Financial Controller signing the load reconciliation; feed checks run every week, with failed feeds fixed the same day and escalated during the close; larger credit notes are approved by the Financial Controller (FIN-04) in both models and the A4 playbook; a final trial balance check follows all journals and reconciliations and gates the close pack, with the earlier review kept as a preliminary review; VAT payment release added after submission, explicit due dates measured for PAYE, pensions, VAT, corporation tax and the accounts filing, corporation tax paid in September, and PAYE and pensions released on working day 9 so they clear by the 22nd. Year-end steps are gated across months (draft accounts, board approval, filing, corporation tax pack). VAT and corporation tax cash is stated as excluded from the illustrative ledger. Recalibrated: 2 hours of overtime and 5% of other work kept in peaks. 28 acceptance gates.</w:t>
            </w:r>
          </w:p>
        </w:tc>
      </w:tr>
      <w:tr>
        <w:trPr>
          <w:cantSplit/>
        </w:trPr>
        <w:tc>
          <w:tcPr>
            <w:tcW w:type="dxa" w:w="2400"/>
            <w:vAlign w:val="center"/>
          </w:tcPr>
          <w:p>
            <w:pPr>
              <w:spacing w:after="0" w:before="0" w:line="240" w:lineRule="auto"/>
            </w:pPr>
            <w:r>
              <w:rPr>
                <w:b/>
                <w:color w:val="000000"/>
                <w:sz w:val="20"/>
              </w:rPr>
              <w:t xml:space="preserve">Aligned with the SOP document</w:t>
            </w:r>
          </w:p>
        </w:tc>
        <w:tc>
          <w:tcPr>
            <w:tcW w:type="dxa" w:w="7824"/>
            <w:vAlign w:val="center"/>
          </w:tcPr>
          <w:p>
            <w:pPr>
              <w:spacing w:after="0" w:before="0" w:line="240" w:lineRule="auto"/>
            </w:pPr>
            <w:r>
              <w:rPr>
                <w:color w:val="000000"/>
                <w:sz w:val="20"/>
              </w:rPr>
              <w:t xml:space="preserve">Simulation aligned with the SOPs: AP calls back on supplier bank-detail changes with Financial Controller approval in today’s model; Finance Manager review added to the payroll journal, prepayments and the bank reconciliation, and Financial Controller approval to disposals; the accountants tie out the pack; the Financial Controller runs the quarterly access review with CFO sign-off; the flash result moves to working day 2; and the year-end cycle runs across the year (audit fieldwork in February and March, accounts approved in March, filed by September, corporation tax paid in October and the return approved in December). Recalibrated: 1.75 hours of overtime in peaks and 10% of other work kept.</w:t>
            </w:r>
          </w:p>
        </w:tc>
      </w:tr>
      <w:tr>
        <w:trPr>
          <w:cantSplit/>
        </w:trPr>
        <w:tc>
          <w:tcPr>
            <w:tcW w:type="dxa" w:w="2400"/>
            <w:vAlign w:val="center"/>
          </w:tcPr>
          <w:p>
            <w:pPr>
              <w:spacing w:after="0" w:before="0" w:line="240" w:lineRule="auto"/>
            </w:pPr>
            <w:r>
              <w:rPr>
                <w:b/>
                <w:color w:val="000000"/>
                <w:sz w:val="20"/>
              </w:rPr>
              <w:t xml:space="preserve">Tasks for the FIN-01 to FIN-16 SOP areas</w:t>
            </w:r>
          </w:p>
        </w:tc>
        <w:tc>
          <w:tcPr>
            <w:tcW w:type="dxa" w:w="7824"/>
            <w:vAlign w:val="center"/>
          </w:tcPr>
          <w:p>
            <w:pPr>
              <w:spacing w:after="0" w:before="0" w:line="240" w:lineRule="auto"/>
            </w:pPr>
            <w:r>
              <w:rPr>
                <w:color w:val="000000"/>
                <w:sz w:val="20"/>
              </w:rPr>
              <w:t xml:space="preserve">Added 63 tasks so the model covers every area in the SOP checklist: governance (finance calendar, approval limits, exceptions, related parties, handovers), purchasing (receipts, non-PO purchases, inactive suppliers, commitments), payables (credit notes, urgent payments, duplicate recovery, coding checks), billing and credit control (terms, revenue recognition, processors, payment plans, credit holds, write-offs), banking, payroll (employee bank details, timesheets, off-cycle payments, year-end, bureau review), expenses, ledger maintenance, close, budgeting, fixed assets and leases, tax, year-end judgements, systems and records, and continuity. Conditional ones are off by default. Other work reduced to match; recalibrated (1.5 hours of overtime in peaks, 5% of other work kept).</w:t>
            </w:r>
          </w:p>
        </w:tc>
      </w:tr>
      <w:tr>
        <w:trPr>
          <w:cantSplit/>
        </w:trPr>
        <w:tc>
          <w:tcPr>
            <w:tcW w:type="dxa" w:w="2400"/>
            <w:vAlign w:val="center"/>
          </w:tcPr>
          <w:p>
            <w:pPr>
              <w:spacing w:after="0" w:before="0" w:line="240" w:lineRule="auto"/>
            </w:pPr>
            <w:r>
              <w:rPr>
                <w:b/>
                <w:color w:val="000000"/>
                <w:sz w:val="20"/>
              </w:rPr>
              <w:t xml:space="preserve">Engine rebuilt after technical audit</w:t>
            </w:r>
          </w:p>
        </w:tc>
        <w:tc>
          <w:tcPr>
            <w:tcW w:type="dxa" w:w="7824"/>
            <w:vAlign w:val="center"/>
          </w:tcPr>
          <w:p>
            <w:pPr>
              <w:spacing w:after="0" w:before="0" w:line="240" w:lineRule="auto"/>
            </w:pPr>
            <w:r>
              <w:rPr>
                <w:color w:val="000000"/>
                <w:sz w:val="20"/>
              </w:rPr>
              <w:t xml:space="preserve">Rebuilt the simulation engine and its ledger link in response to the technical audit of 17 October 2026: resource pools with capacity-respecting dispatch, day-start capacity events, conserved effort, one continuous timeline across months, validated and per-instance dependencies, honest handling of unfinished work, event-caused postings with external assumptions shown separately, unique item identifiers and a fixed experiment design. 22 acceptance gates replace the previous checks. Recalibrated with overtime (1.4 hours per person per day in peaks) and 10% of other work kept. Added a page responding to each finding.</w:t>
            </w:r>
          </w:p>
        </w:tc>
      </w:tr>
      <w:tr>
        <w:trPr>
          <w:cantSplit/>
        </w:trPr>
        <w:tc>
          <w:tcPr>
            <w:tcW w:type="dxa" w:w="2400"/>
            <w:vAlign w:val="center"/>
          </w:tcPr>
          <w:p>
            <w:pPr>
              <w:spacing w:after="0" w:before="0" w:line="240" w:lineRule="auto"/>
            </w:pPr>
            <w:r>
              <w:rPr>
                <w:b/>
                <w:color w:val="000000"/>
                <w:sz w:val="20"/>
              </w:rPr>
              <w:t xml:space="preserve">Client billing</w:t>
            </w:r>
          </w:p>
        </w:tc>
        <w:tc>
          <w:tcPr>
            <w:tcW w:type="dxa" w:w="7824"/>
            <w:vAlign w:val="center"/>
          </w:tcPr>
          <w:p>
            <w:pPr>
              <w:spacing w:after="0" w:before="0" w:line="240" w:lineRule="auto"/>
            </w:pPr>
            <w:r>
              <w:rPr>
                <w:color w:val="000000"/>
                <w:sz w:val="20"/>
              </w:rPr>
              <w:t xml:space="preserve">Added the people-heavy parts of client billing in both models: preparing billing data for the billing run, reviewing invoices before they are sent, fixing billing exceptions, resending bounced or rejected invoices, the month-end unbilled and cut-off review, and the annual price increase. AR other work reduced from 44% to 35%; the calibration still holds.</w:t>
            </w:r>
          </w:p>
        </w:tc>
      </w:tr>
      <w:tr>
        <w:trPr>
          <w:cantSplit/>
        </w:trPr>
        <w:tc>
          <w:tcPr>
            <w:tcW w:type="dxa" w:w="2400"/>
            <w:vAlign w:val="center"/>
          </w:tcPr>
          <w:p>
            <w:pPr>
              <w:spacing w:after="0" w:before="0" w:line="240" w:lineRule="auto"/>
            </w:pPr>
            <w:r>
              <w:rPr>
                <w:b/>
                <w:color w:val="000000"/>
                <w:sz w:val="20"/>
              </w:rPr>
              <w:t xml:space="preserve">Resources and outcomes</w:t>
            </w:r>
          </w:p>
        </w:tc>
        <w:tc>
          <w:tcPr>
            <w:tcW w:type="dxa" w:w="7824"/>
            <w:vAlign w:val="center"/>
          </w:tcPr>
          <w:p>
            <w:pPr>
              <w:spacing w:after="0" w:before="0" w:line="240" w:lineRule="auto"/>
            </w:pPr>
            <w:r>
              <w:rPr>
                <w:color w:val="000000"/>
                <w:sz w:val="20"/>
              </w:rPr>
              <w:t xml:space="preserve">Added 24 tasks from the CFO, FP&amp;A and Financial Controller review (journal approvals above threshold, bank mandates, IR35, dividends, litigation, large-company returns, flash results, sales pipeline, long-range plan, model maintenance, savings tracking, subscriptions, CFO one-to-ones, pay review, property, holiday pay and bonus accruals, payroll queries, billing set-up, rebates, card administration, user access, recruitment) and split reconciliations into high-risk and standard. Systems are now a resource with processing time, capacity and outages alongside people and agents. Added service targets and outcomes (time to complete work, share within target) and a workload and capacity view for every resource. Recalibrated: share of other work kept in peaks 35%.</w:t>
            </w:r>
          </w:p>
        </w:tc>
      </w:tr>
      <w:tr>
        <w:trPr>
          <w:cantSplit/>
        </w:trPr>
        <w:tc>
          <w:tcPr>
            <w:tcW w:type="dxa" w:w="2400"/>
            <w:vAlign w:val="center"/>
          </w:tcPr>
          <w:p>
            <w:pPr>
              <w:spacing w:after="0" w:before="0" w:line="240" w:lineRule="auto"/>
            </w:pPr>
            <w:r>
              <w:rPr>
                <w:b/>
                <w:color w:val="000000"/>
                <w:sz w:val="20"/>
              </w:rPr>
              <w:t xml:space="preserve">How each role spends its time</w:t>
            </w:r>
          </w:p>
        </w:tc>
        <w:tc>
          <w:tcPr>
            <w:tcW w:type="dxa" w:w="7824"/>
            <w:vAlign w:val="center"/>
          </w:tcPr>
          <w:p>
            <w:pPr>
              <w:spacing w:after="0" w:before="0" w:line="240" w:lineRule="auto"/>
            </w:pPr>
            <w:r>
              <w:rPr>
                <w:color w:val="000000"/>
                <w:sz w:val="20"/>
              </w:rPr>
              <w:t xml:space="preserve">Added donut charts of each role’s time by task, today and with agents, after the organisation chart; the simulation has the same section for any month, by task or by process.</w:t>
            </w:r>
          </w:p>
        </w:tc>
      </w:tr>
      <w:tr>
        <w:trPr>
          <w:cantSplit/>
        </w:trPr>
        <w:tc>
          <w:tcPr>
            <w:tcW w:type="dxa" w:w="2400"/>
            <w:vAlign w:val="center"/>
          </w:tcPr>
          <w:p>
            <w:pPr>
              <w:spacing w:after="0" w:before="0" w:line="240" w:lineRule="auto"/>
            </w:pPr>
            <w:r>
              <w:rPr>
                <w:b/>
                <w:color w:val="000000"/>
                <w:sz w:val="20"/>
              </w:rPr>
              <w:t xml:space="preserve">Tasks from the activity review</w:t>
            </w:r>
          </w:p>
        </w:tc>
        <w:tc>
          <w:tcPr>
            <w:tcW w:type="dxa" w:w="7824"/>
            <w:vAlign w:val="center"/>
          </w:tcPr>
          <w:p>
            <w:pPr>
              <w:spacing w:after="0" w:before="0" w:line="240" w:lineRule="auto"/>
            </w:pPr>
            <w:r>
              <w:rPr>
                <w:color w:val="000000"/>
                <w:sz w:val="20"/>
              </w:rPr>
              <w:t xml:space="preserve">Added 33 tasks previously inside each role’s other work, in both models: purchase cut-off, purchase order chasing, supplier onboarding checks, sales and account queries, receipts for the cash forecast, trial balance review, recharges and recurring journals, period management, posting errors, business partnering, ad hoc analysis, headcount reporting, dashboards, profitability, system projects and vendors, training and reviews, business queries, investigations, board controls paper, contract support, company secretarial, negotiations, funding meetings, CEO requests, the team meeting and CPD; and, switched off unless they apply, CIS, credit insurance, a PAYE settlement agreement, a rolling forecast and ESG reporting. Other work reduced by the same hours (for example AP 40% to 27%); the calibration still holds.</w:t>
            </w:r>
          </w:p>
        </w:tc>
      </w:tr>
      <w:tr>
        <w:trPr>
          <w:cantSplit/>
        </w:trPr>
        <w:tc>
          <w:tcPr>
            <w:tcW w:type="dxa" w:w="2400"/>
            <w:vAlign w:val="center"/>
          </w:tcPr>
          <w:p>
            <w:pPr>
              <w:spacing w:after="0" w:before="0" w:line="240" w:lineRule="auto"/>
            </w:pPr>
            <w:r>
              <w:rPr>
                <w:b/>
                <w:color w:val="000000"/>
                <w:sz w:val="20"/>
              </w:rPr>
              <w:t xml:space="preserve">Event-driven engine and statistics</w:t>
            </w:r>
          </w:p>
        </w:tc>
        <w:tc>
          <w:tcPr>
            <w:tcW w:type="dxa" w:w="7824"/>
            <w:vAlign w:val="center"/>
          </w:tcPr>
          <w:p>
            <w:pPr>
              <w:spacing w:after="0" w:before="0" w:line="240" w:lineRule="auto"/>
            </w:pPr>
            <w:r>
              <w:rPr>
                <w:color w:val="000000"/>
                <w:sz w:val="20"/>
              </w:rPr>
              <w:t xml:space="preserve">Rebuilt as a discrete-event simulation processed in strict time order, with item-level work, weighted and random arrivals, keyed random numbers so both models see the same luck, continuous timing, confidence intervals, uncertainty about inputs in the range of outcomes, and variance-based global sensitivity. The animation replays the event log, which can be exported. Every remaining fixed number became an input; scenarios can be saved and loaded. Recalibrated (share of other work kept in peaks 55%) so today matches the actual timetable.</w:t>
            </w:r>
          </w:p>
        </w:tc>
      </w:tr>
      <w:tr>
        <w:trPr>
          <w:cantSplit/>
        </w:trPr>
        <w:tc>
          <w:tcPr>
            <w:tcW w:type="dxa" w:w="2400"/>
            <w:vAlign w:val="center"/>
          </w:tcPr>
          <w:p>
            <w:pPr>
              <w:spacing w:after="0" w:before="0" w:line="240" w:lineRule="auto"/>
            </w:pPr>
            <w:r>
              <w:rPr>
                <w:b/>
                <w:color w:val="000000"/>
                <w:sz w:val="20"/>
              </w:rPr>
              <w:t xml:space="preserve">Robust engine</w:t>
            </w:r>
          </w:p>
        </w:tc>
        <w:tc>
          <w:tcPr>
            <w:tcW w:type="dxa" w:w="7824"/>
            <w:vAlign w:val="center"/>
          </w:tcPr>
          <w:p>
            <w:pPr>
              <w:spacing w:after="0" w:before="0" w:line="240" w:lineRule="auto"/>
            </w:pPr>
            <w:r>
              <w:rPr>
                <w:color w:val="000000"/>
                <w:sz w:val="20"/>
              </w:rPr>
              <w:t xml:space="preserve">Each FTE is a separate worker; backlog carries between months; overtime, peak behaviour and priority rules are editable settings. Added the task table (every task editable, new tasks can be added), fourteen built-in model checks, a back-test against the actual timetable and a sensitivity analysis. Part D updated.</w:t>
            </w:r>
          </w:p>
        </w:tc>
      </w:tr>
      <w:tr>
        <w:trPr>
          <w:cantSplit/>
        </w:trPr>
        <w:tc>
          <w:tcPr>
            <w:tcW w:type="dxa" w:w="2400"/>
            <w:vAlign w:val="center"/>
          </w:tcPr>
          <w:p>
            <w:pPr>
              <w:spacing w:after="0" w:before="0" w:line="240" w:lineRule="auto"/>
            </w:pPr>
            <w:r>
              <w:rPr>
                <w:b/>
                <w:color w:val="000000"/>
                <w:sz w:val="20"/>
              </w:rPr>
              <w:t xml:space="preserve">Emergent timetable</w:t>
            </w:r>
          </w:p>
        </w:tc>
        <w:tc>
          <w:tcPr>
            <w:tcW w:type="dxa" w:w="7824"/>
            <w:vAlign w:val="center"/>
          </w:tcPr>
          <w:p>
            <w:pPr>
              <w:spacing w:after="0" w:before="0" w:line="240" w:lineRule="auto"/>
            </w:pPr>
            <w:r>
              <w:rPr>
                <w:color w:val="000000"/>
                <w:sz w:val="20"/>
              </w:rPr>
              <w:t xml:space="preserve">The simulation now produces the close and pack days for both models from headcount, other work, agents, tasks and task times; targets are shown for comparison only. Agents have processing time and concurrency, and the animation no longer affects timing. Added a model check against the actual timetable.</w:t>
            </w:r>
          </w:p>
        </w:tc>
      </w:tr>
      <w:tr>
        <w:trPr>
          <w:cantSplit/>
        </w:trPr>
        <w:tc>
          <w:tcPr>
            <w:tcW w:type="dxa" w:w="2400"/>
            <w:vAlign w:val="center"/>
          </w:tcPr>
          <w:p>
            <w:pPr>
              <w:spacing w:after="0" w:before="0" w:line="240" w:lineRule="auto"/>
            </w:pPr>
            <w:r>
              <w:rPr>
                <w:b/>
                <w:color w:val="000000"/>
                <w:sz w:val="20"/>
              </w:rPr>
              <w:t xml:space="preserve">Organisation chart</w:t>
            </w:r>
          </w:p>
        </w:tc>
        <w:tc>
          <w:tcPr>
            <w:tcW w:type="dxa" w:w="7824"/>
            <w:vAlign w:val="center"/>
          </w:tcPr>
          <w:p>
            <w:pPr>
              <w:spacing w:after="0" w:before="0" w:line="240" w:lineRule="auto"/>
            </w:pPr>
            <w:r>
              <w:rPr>
                <w:color w:val="000000"/>
                <w:sz w:val="20"/>
              </w:rPr>
              <w:t xml:space="preserve">Added an organisation chart showing reporting lines and FTE for each role, after the Finance organisation page.</w:t>
            </w:r>
          </w:p>
        </w:tc>
      </w:tr>
      <w:tr>
        <w:trPr>
          <w:cantSplit/>
        </w:trPr>
        <w:tc>
          <w:tcPr>
            <w:tcW w:type="dxa" w:w="2400"/>
            <w:vAlign w:val="center"/>
          </w:tcPr>
          <w:p>
            <w:pPr>
              <w:spacing w:after="0" w:before="0" w:line="240" w:lineRule="auto"/>
            </w:pPr>
            <w:r>
              <w:rPr>
                <w:b/>
                <w:color w:val="000000"/>
                <w:sz w:val="20"/>
              </w:rPr>
              <w:t xml:space="preserve">Part D: the simulation</w:t>
            </w:r>
          </w:p>
        </w:tc>
        <w:tc>
          <w:tcPr>
            <w:tcW w:type="dxa" w:w="7824"/>
            <w:vAlign w:val="center"/>
          </w:tcPr>
          <w:p>
            <w:pPr>
              <w:spacing w:after="0" w:before="0" w:line="240" w:lineRule="auto"/>
            </w:pPr>
            <w:r>
              <w:rPr>
                <w:color w:val="000000"/>
                <w:sz w:val="20"/>
              </w:rPr>
              <w:t xml:space="preserve">Added Part D describing the simulation: what it is and how to use it, how the engine works, the calendar and variability, the financial statements and general ledger, what the results depend on and how to maintain it.</w:t>
            </w:r>
          </w:p>
        </w:tc>
      </w:tr>
      <w:tr>
        <w:trPr>
          <w:cantSplit/>
        </w:trPr>
        <w:tc>
          <w:tcPr>
            <w:tcW w:type="dxa" w:w="2400"/>
            <w:vAlign w:val="center"/>
          </w:tcPr>
          <w:p>
            <w:pPr>
              <w:spacing w:after="0" w:before="0" w:line="240" w:lineRule="auto"/>
            </w:pPr>
            <w:r>
              <w:rPr>
                <w:b/>
                <w:color w:val="000000"/>
                <w:sz w:val="20"/>
              </w:rPr>
              <w:t xml:space="preserve">Alignment with the simulation</w:t>
            </w:r>
          </w:p>
        </w:tc>
        <w:tc>
          <w:tcPr>
            <w:tcW w:type="dxa" w:w="7824"/>
            <w:vAlign w:val="center"/>
          </w:tcPr>
          <w:p>
            <w:pPr>
              <w:spacing w:after="0" w:before="0" w:line="240" w:lineRule="auto"/>
            </w:pPr>
            <w:r>
              <w:rPr>
                <w:color w:val="000000"/>
                <w:sz w:val="20"/>
              </w:rPr>
              <w:t xml:space="preserve">Added a Finance organisation page, simulation assumptions (targets, calendar, agent settings and volumes) and a task inventory with rollout phases. Rewrote process ownership and people around the organisation, removed group-company wording, aligned agent names, approvals, the bank-detail control and payroll data handling.</w:t>
            </w:r>
          </w:p>
        </w:tc>
      </w:tr>
      <w:tr>
        <w:trPr>
          <w:cantSplit/>
        </w:trPr>
        <w:tc>
          <w:tcPr>
            <w:tcW w:type="dxa" w:w="2400"/>
            <w:vAlign w:val="center"/>
          </w:tcPr>
          <w:p>
            <w:pPr>
              <w:spacing w:after="0" w:before="0" w:line="240" w:lineRule="auto"/>
            </w:pPr>
            <w:r>
              <w:rPr>
                <w:b/>
                <w:color w:val="000000"/>
                <w:sz w:val="20"/>
              </w:rPr>
              <w:t xml:space="preserve">Diagrams</w:t>
            </w:r>
          </w:p>
        </w:tc>
        <w:tc>
          <w:tcPr>
            <w:tcW w:type="dxa" w:w="7824"/>
            <w:vAlign w:val="center"/>
          </w:tcPr>
          <w:p>
            <w:pPr>
              <w:spacing w:after="0" w:before="0" w:line="240" w:lineRule="auto"/>
            </w:pPr>
            <w:r>
              <w:rPr>
                <w:color w:val="000000"/>
                <w:sz w:val="20"/>
              </w:rPr>
              <w:t xml:space="preserve">Execution diagram corrected so rejected drafts return to the agent with reasons.</w:t>
            </w:r>
          </w:p>
        </w:tc>
      </w:tr>
    </w:tbl>
    <w:p>
      <w:pPr>
        <w:pStyle w:val="Title"/>
        <w:pageBreakBefore/>
      </w:pPr>
      <w:r>
        <w:t>CFO office process guide</w:t>
      </w:r>
    </w:p>
    <w:p>
      <w:pPr>
        <w:pStyle w:val="Heading1"/>
      </w:pPr>
      <w:r>
        <w:t xml:space="preserve">Finance organisation</w:t>
      </w:r>
    </w:p>
    <w:p>
      <w:pPr>
        <w:spacing w:after="120"/>
      </w:pPr>
      <w:r>
        <w:t xml:space="preserve">The structure, headcount and responsibilities below match the simulation. They are an assumed structure for a single-entity UK business of this size </w:t>
      </w:r>
      <w:r>
        <w:rPr>
          <w:highlight w:val="yellow"/>
        </w:rPr>
        <w:t xml:space="preserve">[replace with the actual organisation chart]</w:t>
      </w:r>
      <w:r>
        <w:t xml:space="preserve">. Other work is the share of time spent on things not listed task by task, such as queries, meetings, analysis and projects.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900"/>
        <w:gridCol w:w="2100"/>
        <w:gridCol w:w="1500"/>
        <w:gridCol w:w="700"/>
        <w:gridCol w:w="900"/>
        <w:gridCol w:w="3124"/>
      </w:tblGrid>
      <w:tr>
        <w:trPr>
          <w:tblHeader/>
        </w:trPr>
        <w:tc>
          <w:tcPr>
            <w:tcW w:type="dxa" w:w="1900"/>
            <w:shd w:val="clear" w:color="auto" w:fill="DCE6F1"/>
            <w:vAlign w:val="center"/>
          </w:tcPr>
          <w:p>
            <w:pPr>
              <w:spacing w:after="0" w:before="0" w:line="240" w:lineRule="auto"/>
            </w:pPr>
            <w:r>
              <w:rPr>
                <w:b/>
                <w:color w:val="000000"/>
                <w:sz w:val="17"/>
              </w:rPr>
              <w:t xml:space="preserve">Role</w:t>
            </w:r>
          </w:p>
        </w:tc>
        <w:tc>
          <w:tcPr>
            <w:tcW w:type="dxa" w:w="2100"/>
            <w:shd w:val="clear" w:color="auto" w:fill="DCE6F1"/>
            <w:vAlign w:val="center"/>
          </w:tcPr>
          <w:p>
            <w:pPr>
              <w:spacing w:after="0" w:before="0" w:line="240" w:lineRule="auto"/>
            </w:pPr>
            <w:r>
              <w:rPr>
                <w:b/>
                <w:color w:val="000000"/>
                <w:sz w:val="17"/>
              </w:rPr>
              <w:t xml:space="preserve">Job titles</w:t>
            </w:r>
          </w:p>
        </w:tc>
        <w:tc>
          <w:tcPr>
            <w:tcW w:type="dxa" w:w="1500"/>
            <w:shd w:val="clear" w:color="auto" w:fill="DCE6F1"/>
            <w:vAlign w:val="center"/>
          </w:tcPr>
          <w:p>
            <w:pPr>
              <w:spacing w:after="0" w:before="0" w:line="240" w:lineRule="auto"/>
            </w:pPr>
            <w:r>
              <w:rPr>
                <w:b/>
                <w:color w:val="000000"/>
                <w:sz w:val="17"/>
              </w:rPr>
              <w:t xml:space="preserve">Reports to</w:t>
            </w:r>
          </w:p>
        </w:tc>
        <w:tc>
          <w:tcPr>
            <w:tcW w:type="dxa" w:w="700"/>
            <w:shd w:val="clear" w:color="auto" w:fill="DCE6F1"/>
            <w:vAlign w:val="center"/>
          </w:tcPr>
          <w:p>
            <w:pPr>
              <w:spacing w:after="0" w:before="0" w:line="240" w:lineRule="auto"/>
            </w:pPr>
            <w:r>
              <w:rPr>
                <w:b/>
                <w:color w:val="000000"/>
                <w:sz w:val="17"/>
              </w:rPr>
              <w:t xml:space="preserve">FTE</w:t>
            </w:r>
          </w:p>
        </w:tc>
        <w:tc>
          <w:tcPr>
            <w:tcW w:type="dxa" w:w="900"/>
            <w:shd w:val="clear" w:color="auto" w:fill="DCE6F1"/>
            <w:vAlign w:val="center"/>
          </w:tcPr>
          <w:p>
            <w:pPr>
              <w:spacing w:after="0" w:before="0" w:line="240" w:lineRule="auto"/>
            </w:pPr>
            <w:r>
              <w:rPr>
                <w:b/>
                <w:color w:val="000000"/>
                <w:sz w:val="17"/>
              </w:rPr>
              <w:t xml:space="preserve">Other work</w:t>
            </w:r>
          </w:p>
        </w:tc>
        <w:tc>
          <w:tcPr>
            <w:tcW w:type="dxa" w:w="3124"/>
            <w:shd w:val="clear" w:color="auto" w:fill="DCE6F1"/>
            <w:vAlign w:val="center"/>
          </w:tcPr>
          <w:p>
            <w:pPr>
              <w:spacing w:after="0" w:before="0" w:line="240" w:lineRule="auto"/>
            </w:pPr>
            <w:r>
              <w:rPr>
                <w:b/>
                <w:color w:val="000000"/>
                <w:sz w:val="17"/>
              </w:rPr>
              <w:t xml:space="preserve">Main responsibilities today</w:t>
            </w:r>
          </w:p>
        </w:tc>
      </w:tr>
      <w:tr>
        <w:trPr>
          <w:cantSplit/>
        </w:trPr>
        <w:tc>
          <w:tcPr>
            <w:tcW w:type="dxa" w:w="1900"/>
            <w:vAlign w:val="center"/>
          </w:tcPr>
          <w:p>
            <w:pPr>
              <w:spacing w:after="0" w:before="0" w:line="240" w:lineRule="auto"/>
            </w:pPr>
            <w:r>
              <w:rPr>
                <w:b/>
                <w:color w:val="000000"/>
                <w:sz w:val="17"/>
              </w:rPr>
              <w:t xml:space="preserve">CFO</w:t>
            </w:r>
          </w:p>
        </w:tc>
        <w:tc>
          <w:tcPr>
            <w:tcW w:type="dxa" w:w="2100"/>
            <w:vAlign w:val="center"/>
          </w:tcPr>
          <w:p>
            <w:pPr>
              <w:spacing w:after="0" w:before="0" w:line="240" w:lineRule="auto"/>
            </w:pPr>
            <w:r>
              <w:rPr>
                <w:color w:val="000000"/>
                <w:sz w:val="17"/>
              </w:rPr>
              <w:t xml:space="preserve">Chief Financial Officer</w:t>
            </w:r>
          </w:p>
        </w:tc>
        <w:tc>
          <w:tcPr>
            <w:tcW w:type="dxa" w:w="1500"/>
            <w:vAlign w:val="center"/>
          </w:tcPr>
          <w:p>
            <w:pPr>
              <w:spacing w:after="0" w:before="0" w:line="240" w:lineRule="auto"/>
            </w:pPr>
            <w:r>
              <w:rPr>
                <w:color w:val="000000"/>
                <w:sz w:val="17"/>
              </w:rPr>
              <w:t xml:space="preserve">CEO and board</w:t>
            </w:r>
          </w:p>
        </w:tc>
        <w:tc>
          <w:tcPr>
            <w:tcW w:type="dxa" w:w="700"/>
            <w:vAlign w:val="center"/>
          </w:tcPr>
          <w:p>
            <w:pPr>
              <w:spacing w:after="0" w:before="0" w:line="240" w:lineRule="auto"/>
            </w:pPr>
            <w:r>
              <w:rPr>
                <w:color w:val="000000"/>
                <w:sz w:val="17"/>
                <w:highlight w:val="yellow"/>
              </w:rPr>
              <w:t xml:space="preserve">[1]</w:t>
            </w:r>
          </w:p>
        </w:tc>
        <w:tc>
          <w:tcPr>
            <w:tcW w:type="dxa" w:w="900"/>
            <w:vAlign w:val="center"/>
          </w:tcPr>
          <w:p>
            <w:pPr>
              <w:spacing w:after="0" w:before="0" w:line="240" w:lineRule="auto"/>
            </w:pPr>
            <w:r>
              <w:rPr>
                <w:color w:val="000000"/>
                <w:sz w:val="17"/>
                <w:highlight w:val="yellow"/>
              </w:rPr>
              <w:t xml:space="preserve">[46%]</w:t>
            </w:r>
          </w:p>
        </w:tc>
        <w:tc>
          <w:tcPr>
            <w:tcW w:type="dxa" w:w="3124"/>
            <w:vAlign w:val="center"/>
          </w:tcPr>
          <w:p>
            <w:pPr>
              <w:spacing w:after="0" w:before="0" w:line="240" w:lineRule="auto"/>
            </w:pPr>
            <w:r>
              <w:rPr>
                <w:color w:val="000000"/>
                <w:sz w:val="17"/>
              </w:rPr>
              <w:t xml:space="preserve">Leads finance; leadership team and board; strategy; pricing and deal approvals; contracts; bank and lenders; owner updates; releases payments with a second signatory; oversees insurance, pensions, IT and HR</w:t>
            </w:r>
          </w:p>
        </w:tc>
      </w:tr>
      <w:tr>
        <w:trPr>
          <w:cantSplit/>
        </w:trPr>
        <w:tc>
          <w:tcPr>
            <w:tcW w:type="dxa" w:w="1900"/>
            <w:vAlign w:val="center"/>
          </w:tcPr>
          <w:p>
            <w:pPr>
              <w:spacing w:after="0" w:before="0" w:line="240" w:lineRule="auto"/>
            </w:pPr>
            <w:r>
              <w:rPr>
                <w:b/>
                <w:color w:val="000000"/>
                <w:sz w:val="17"/>
              </w:rPr>
              <w:t xml:space="preserve">Financial Controller</w:t>
            </w:r>
          </w:p>
        </w:tc>
        <w:tc>
          <w:tcPr>
            <w:tcW w:type="dxa" w:w="2100"/>
            <w:vAlign w:val="center"/>
          </w:tcPr>
          <w:p>
            <w:pPr>
              <w:spacing w:after="0" w:before="0" w:line="240" w:lineRule="auto"/>
            </w:pPr>
            <w:r>
              <w:rPr>
                <w:color w:val="000000"/>
                <w:sz w:val="17"/>
              </w:rPr>
              <w:t xml:space="preserve">Financial Controller</w:t>
            </w:r>
          </w:p>
        </w:tc>
        <w:tc>
          <w:tcPr>
            <w:tcW w:type="dxa" w:w="1500"/>
            <w:vAlign w:val="center"/>
          </w:tcPr>
          <w:p>
            <w:pPr>
              <w:spacing w:after="0" w:before="0" w:line="240" w:lineRule="auto"/>
            </w:pPr>
            <w:r>
              <w:rPr>
                <w:color w:val="000000"/>
                <w:sz w:val="17"/>
              </w:rPr>
              <w:t xml:space="preserve">CFO</w:t>
            </w:r>
          </w:p>
        </w:tc>
        <w:tc>
          <w:tcPr>
            <w:tcW w:type="dxa" w:w="700"/>
            <w:vAlign w:val="center"/>
          </w:tcPr>
          <w:p>
            <w:pPr>
              <w:spacing w:after="0" w:before="0" w:line="240" w:lineRule="auto"/>
            </w:pPr>
            <w:r>
              <w:rPr>
                <w:color w:val="000000"/>
                <w:sz w:val="17"/>
                <w:highlight w:val="yellow"/>
              </w:rPr>
              <w:t xml:space="preserve">[1]</w:t>
            </w:r>
          </w:p>
        </w:tc>
        <w:tc>
          <w:tcPr>
            <w:tcW w:type="dxa" w:w="900"/>
            <w:vAlign w:val="center"/>
          </w:tcPr>
          <w:p>
            <w:pPr>
              <w:spacing w:after="0" w:before="0" w:line="240" w:lineRule="auto"/>
            </w:pPr>
            <w:r>
              <w:rPr>
                <w:color w:val="000000"/>
                <w:sz w:val="17"/>
                <w:highlight w:val="yellow"/>
              </w:rPr>
              <w:t xml:space="preserve">[55%]</w:t>
            </w:r>
          </w:p>
        </w:tc>
        <w:tc>
          <w:tcPr>
            <w:tcW w:type="dxa" w:w="3124"/>
            <w:vAlign w:val="center"/>
          </w:tcPr>
          <w:p>
            <w:pPr>
              <w:spacing w:after="0" w:before="0" w:line="240" w:lineRule="auto"/>
            </w:pPr>
            <w:r>
              <w:rPr>
                <w:color w:val="000000"/>
                <w:sz w:val="17"/>
              </w:rPr>
              <w:t xml:space="preserve">Signs off the close; approves payment runs, credit limits, payroll, provisions; submits VAT; tests key controls; tax planning; policies, insurance, pension administration; audit management letter</w:t>
            </w:r>
          </w:p>
        </w:tc>
      </w:tr>
      <w:tr>
        <w:trPr>
          <w:cantSplit/>
        </w:trPr>
        <w:tc>
          <w:tcPr>
            <w:tcW w:type="dxa" w:w="1900"/>
            <w:vAlign w:val="center"/>
          </w:tcPr>
          <w:p>
            <w:pPr>
              <w:spacing w:after="0" w:before="0" w:line="240" w:lineRule="auto"/>
            </w:pPr>
            <w:r>
              <w:rPr>
                <w:b/>
                <w:color w:val="000000"/>
                <w:sz w:val="17"/>
              </w:rPr>
              <w:t xml:space="preserve">FP&amp;A</w:t>
            </w:r>
          </w:p>
        </w:tc>
        <w:tc>
          <w:tcPr>
            <w:tcW w:type="dxa" w:w="2100"/>
            <w:vAlign w:val="center"/>
          </w:tcPr>
          <w:p>
            <w:pPr>
              <w:spacing w:after="0" w:before="0" w:line="240" w:lineRule="auto"/>
            </w:pPr>
            <w:r>
              <w:rPr>
                <w:color w:val="000000"/>
                <w:sz w:val="17"/>
              </w:rPr>
              <w:t xml:space="preserve">FP&amp;A Manager, Management Accountant</w:t>
            </w:r>
          </w:p>
        </w:tc>
        <w:tc>
          <w:tcPr>
            <w:tcW w:type="dxa" w:w="1500"/>
            <w:vAlign w:val="center"/>
          </w:tcPr>
          <w:p>
            <w:pPr>
              <w:spacing w:after="0" w:before="0" w:line="240" w:lineRule="auto"/>
            </w:pPr>
            <w:r>
              <w:rPr>
                <w:color w:val="000000"/>
                <w:sz w:val="17"/>
              </w:rPr>
              <w:t xml:space="preserve">CFO</w:t>
            </w:r>
          </w:p>
        </w:tc>
        <w:tc>
          <w:tcPr>
            <w:tcW w:type="dxa" w:w="700"/>
            <w:vAlign w:val="center"/>
          </w:tcPr>
          <w:p>
            <w:pPr>
              <w:spacing w:after="0" w:before="0" w:line="240" w:lineRule="auto"/>
            </w:pPr>
            <w:r>
              <w:rPr>
                <w:color w:val="000000"/>
                <w:sz w:val="17"/>
                <w:highlight w:val="yellow"/>
              </w:rPr>
              <w:t xml:space="preserve">[2]</w:t>
            </w:r>
          </w:p>
        </w:tc>
        <w:tc>
          <w:tcPr>
            <w:tcW w:type="dxa" w:w="900"/>
            <w:vAlign w:val="center"/>
          </w:tcPr>
          <w:p>
            <w:pPr>
              <w:spacing w:after="0" w:before="0" w:line="240" w:lineRule="auto"/>
            </w:pPr>
            <w:r>
              <w:rPr>
                <w:color w:val="000000"/>
                <w:sz w:val="17"/>
                <w:highlight w:val="yellow"/>
              </w:rPr>
              <w:t xml:space="preserve">[46%]</w:t>
            </w:r>
          </w:p>
        </w:tc>
        <w:tc>
          <w:tcPr>
            <w:tcW w:type="dxa" w:w="3124"/>
            <w:vAlign w:val="center"/>
          </w:tcPr>
          <w:p>
            <w:pPr>
              <w:spacing w:after="0" w:before="0" w:line="240" w:lineRule="auto"/>
            </w:pPr>
            <w:r>
              <w:rPr>
                <w:color w:val="000000"/>
                <w:sz w:val="17"/>
              </w:rPr>
              <w:t xml:space="preserve">KPIs, variances, management and board packs, reforecast and budget, business cases, deal analysis, cost-centre reports, commission, capex tracking, pricing model; also supplier and customer master data today</w:t>
            </w:r>
          </w:p>
        </w:tc>
      </w:tr>
      <w:tr>
        <w:trPr>
          <w:cantSplit/>
        </w:trPr>
        <w:tc>
          <w:tcPr>
            <w:tcW w:type="dxa" w:w="1900"/>
            <w:vAlign w:val="center"/>
          </w:tcPr>
          <w:p>
            <w:pPr>
              <w:spacing w:after="0" w:before="0" w:line="240" w:lineRule="auto"/>
            </w:pPr>
            <w:r>
              <w:rPr>
                <w:b/>
                <w:color w:val="000000"/>
                <w:sz w:val="17"/>
              </w:rPr>
              <w:t xml:space="preserve">Finance Manager</w:t>
            </w:r>
          </w:p>
        </w:tc>
        <w:tc>
          <w:tcPr>
            <w:tcW w:type="dxa" w:w="2100"/>
            <w:vAlign w:val="center"/>
          </w:tcPr>
          <w:p>
            <w:pPr>
              <w:spacing w:after="0" w:before="0" w:line="240" w:lineRule="auto"/>
            </w:pPr>
            <w:r>
              <w:rPr>
                <w:color w:val="000000"/>
                <w:sz w:val="17"/>
              </w:rPr>
              <w:t xml:space="preserve">Finance Manager</w:t>
            </w:r>
          </w:p>
        </w:tc>
        <w:tc>
          <w:tcPr>
            <w:tcW w:type="dxa" w:w="1500"/>
            <w:vAlign w:val="center"/>
          </w:tcPr>
          <w:p>
            <w:pPr>
              <w:spacing w:after="0" w:before="0" w:line="240" w:lineRule="auto"/>
            </w:pPr>
            <w:r>
              <w:rPr>
                <w:color w:val="000000"/>
                <w:sz w:val="17"/>
              </w:rPr>
              <w:t xml:space="preserve">Financial Controller</w:t>
            </w:r>
          </w:p>
        </w:tc>
        <w:tc>
          <w:tcPr>
            <w:tcW w:type="dxa" w:w="700"/>
            <w:vAlign w:val="center"/>
          </w:tcPr>
          <w:p>
            <w:pPr>
              <w:spacing w:after="0" w:before="0" w:line="240" w:lineRule="auto"/>
            </w:pPr>
            <w:r>
              <w:rPr>
                <w:color w:val="000000"/>
                <w:sz w:val="17"/>
                <w:highlight w:val="yellow"/>
              </w:rPr>
              <w:t xml:space="preserve">[1]</w:t>
            </w:r>
          </w:p>
        </w:tc>
        <w:tc>
          <w:tcPr>
            <w:tcW w:type="dxa" w:w="900"/>
            <w:vAlign w:val="center"/>
          </w:tcPr>
          <w:p>
            <w:pPr>
              <w:spacing w:after="0" w:before="0" w:line="240" w:lineRule="auto"/>
            </w:pPr>
            <w:r>
              <w:rPr>
                <w:color w:val="000000"/>
                <w:sz w:val="17"/>
                <w:highlight w:val="yellow"/>
              </w:rPr>
              <w:t xml:space="preserve">[45%]</w:t>
            </w:r>
          </w:p>
        </w:tc>
        <w:tc>
          <w:tcPr>
            <w:tcW w:type="dxa" w:w="3124"/>
            <w:vAlign w:val="center"/>
          </w:tcPr>
          <w:p>
            <w:pPr>
              <w:spacing w:after="0" w:before="0" w:line="240" w:lineRule="auto"/>
            </w:pPr>
            <w:r>
              <w:rPr>
                <w:color w:val="000000"/>
                <w:sz w:val="17"/>
              </w:rPr>
              <w:t xml:space="preserve">Runs the close; first review of reconciliations, journals, credit notes and control evidence; supervises AP, AR and accountants; finance systems; process notes; audit coordination</w:t>
            </w:r>
          </w:p>
        </w:tc>
      </w:tr>
      <w:tr>
        <w:trPr>
          <w:cantSplit/>
        </w:trPr>
        <w:tc>
          <w:tcPr>
            <w:tcW w:type="dxa" w:w="1900"/>
            <w:vAlign w:val="center"/>
          </w:tcPr>
          <w:p>
            <w:pPr>
              <w:spacing w:after="0" w:before="0" w:line="240" w:lineRule="auto"/>
            </w:pPr>
            <w:r>
              <w:rPr>
                <w:b/>
                <w:color w:val="000000"/>
                <w:sz w:val="17"/>
              </w:rPr>
              <w:t xml:space="preserve">Accountants</w:t>
            </w:r>
          </w:p>
        </w:tc>
        <w:tc>
          <w:tcPr>
            <w:tcW w:type="dxa" w:w="2100"/>
            <w:vAlign w:val="center"/>
          </w:tcPr>
          <w:p>
            <w:pPr>
              <w:spacing w:after="0" w:before="0" w:line="240" w:lineRule="auto"/>
            </w:pPr>
            <w:r>
              <w:rPr>
                <w:color w:val="000000"/>
                <w:sz w:val="17"/>
              </w:rPr>
              <w:t xml:space="preserve">Financial Accountant, part-time Assistant Accountant</w:t>
            </w:r>
          </w:p>
        </w:tc>
        <w:tc>
          <w:tcPr>
            <w:tcW w:type="dxa" w:w="1500"/>
            <w:vAlign w:val="center"/>
          </w:tcPr>
          <w:p>
            <w:pPr>
              <w:spacing w:after="0" w:before="0" w:line="240" w:lineRule="auto"/>
            </w:pPr>
            <w:r>
              <w:rPr>
                <w:color w:val="000000"/>
                <w:sz w:val="17"/>
              </w:rPr>
              <w:t xml:space="preserve">Finance Manager</w:t>
            </w:r>
          </w:p>
        </w:tc>
        <w:tc>
          <w:tcPr>
            <w:tcW w:type="dxa" w:w="700"/>
            <w:vAlign w:val="center"/>
          </w:tcPr>
          <w:p>
            <w:pPr>
              <w:spacing w:after="0" w:before="0" w:line="240" w:lineRule="auto"/>
            </w:pPr>
            <w:r>
              <w:rPr>
                <w:color w:val="000000"/>
                <w:sz w:val="17"/>
                <w:highlight w:val="yellow"/>
              </w:rPr>
              <w:t xml:space="preserve">[1.5]</w:t>
            </w:r>
          </w:p>
        </w:tc>
        <w:tc>
          <w:tcPr>
            <w:tcW w:type="dxa" w:w="900"/>
            <w:vAlign w:val="center"/>
          </w:tcPr>
          <w:p>
            <w:pPr>
              <w:spacing w:after="0" w:before="0" w:line="240" w:lineRule="auto"/>
            </w:pPr>
            <w:r>
              <w:rPr>
                <w:color w:val="000000"/>
                <w:sz w:val="17"/>
                <w:highlight w:val="yellow"/>
              </w:rPr>
              <w:t xml:space="preserve">[46%]</w:t>
            </w:r>
          </w:p>
        </w:tc>
        <w:tc>
          <w:tcPr>
            <w:tcW w:type="dxa" w:w="3124"/>
            <w:vAlign w:val="center"/>
          </w:tcPr>
          <w:p>
            <w:pPr>
              <w:spacing w:after="0" w:before="0" w:line="240" w:lineRule="auto"/>
            </w:pPr>
            <w:r>
              <w:rPr>
                <w:color w:val="000000"/>
                <w:sz w:val="17"/>
              </w:rPr>
              <w:t xml:space="preserve">Cash and bank reconciliation, 13-week forecast, journals and schedules, reconciliations, fixed assets, payroll inputs and checks, PAYE and pensions, VAT, tax papers, close pack, year-end accounts and audit</w:t>
            </w:r>
          </w:p>
        </w:tc>
      </w:tr>
      <w:tr>
        <w:trPr>
          <w:cantSplit/>
        </w:trPr>
        <w:tc>
          <w:tcPr>
            <w:tcW w:type="dxa" w:w="1900"/>
            <w:vAlign w:val="center"/>
          </w:tcPr>
          <w:p>
            <w:pPr>
              <w:spacing w:after="0" w:before="0" w:line="240" w:lineRule="auto"/>
            </w:pPr>
            <w:r>
              <w:rPr>
                <w:b/>
                <w:color w:val="000000"/>
                <w:sz w:val="17"/>
              </w:rPr>
              <w:t xml:space="preserve">AP team</w:t>
            </w:r>
          </w:p>
        </w:tc>
        <w:tc>
          <w:tcPr>
            <w:tcW w:type="dxa" w:w="2100"/>
            <w:vAlign w:val="center"/>
          </w:tcPr>
          <w:p>
            <w:pPr>
              <w:spacing w:after="0" w:before="0" w:line="240" w:lineRule="auto"/>
            </w:pPr>
            <w:r>
              <w:rPr>
                <w:color w:val="000000"/>
                <w:sz w:val="17"/>
              </w:rPr>
              <w:t xml:space="preserve">Purchase Ledger Clerk</w:t>
            </w:r>
          </w:p>
        </w:tc>
        <w:tc>
          <w:tcPr>
            <w:tcW w:type="dxa" w:w="1500"/>
            <w:vAlign w:val="center"/>
          </w:tcPr>
          <w:p>
            <w:pPr>
              <w:spacing w:after="0" w:before="0" w:line="240" w:lineRule="auto"/>
            </w:pPr>
            <w:r>
              <w:rPr>
                <w:color w:val="000000"/>
                <w:sz w:val="17"/>
              </w:rPr>
              <w:t xml:space="preserve">Finance Manager</w:t>
            </w:r>
          </w:p>
        </w:tc>
        <w:tc>
          <w:tcPr>
            <w:tcW w:type="dxa" w:w="700"/>
            <w:vAlign w:val="center"/>
          </w:tcPr>
          <w:p>
            <w:pPr>
              <w:spacing w:after="0" w:before="0" w:line="240" w:lineRule="auto"/>
            </w:pPr>
            <w:r>
              <w:rPr>
                <w:color w:val="000000"/>
                <w:sz w:val="17"/>
                <w:highlight w:val="yellow"/>
              </w:rPr>
              <w:t xml:space="preserve">[1]</w:t>
            </w:r>
          </w:p>
        </w:tc>
        <w:tc>
          <w:tcPr>
            <w:tcW w:type="dxa" w:w="900"/>
            <w:vAlign w:val="center"/>
          </w:tcPr>
          <w:p>
            <w:pPr>
              <w:spacing w:after="0" w:before="0" w:line="240" w:lineRule="auto"/>
            </w:pPr>
            <w:r>
              <w:rPr>
                <w:color w:val="000000"/>
                <w:sz w:val="17"/>
                <w:highlight w:val="yellow"/>
              </w:rPr>
              <w:t xml:space="preserve">[18%]</w:t>
            </w:r>
          </w:p>
        </w:tc>
        <w:tc>
          <w:tcPr>
            <w:tcW w:type="dxa" w:w="3124"/>
            <w:vAlign w:val="center"/>
          </w:tcPr>
          <w:p>
            <w:pPr>
              <w:spacing w:after="0" w:before="0" w:line="240" w:lineRule="auto"/>
            </w:pPr>
            <w:r>
              <w:rPr>
                <w:color w:val="000000"/>
                <w:sz w:val="17"/>
              </w:rPr>
              <w:t xml:space="preserve">Invoice keying and exceptions, expenses, supplier queries and statements, card and petty cash reconciliations, duplicate and returned payments, payment run, remittances</w:t>
            </w:r>
          </w:p>
        </w:tc>
      </w:tr>
      <w:tr>
        <w:trPr>
          <w:cantSplit/>
        </w:trPr>
        <w:tc>
          <w:tcPr>
            <w:tcW w:type="dxa" w:w="1900"/>
            <w:vAlign w:val="center"/>
          </w:tcPr>
          <w:p>
            <w:pPr>
              <w:spacing w:after="0" w:before="0" w:line="240" w:lineRule="auto"/>
            </w:pPr>
            <w:r>
              <w:rPr>
                <w:b/>
                <w:color w:val="000000"/>
                <w:sz w:val="17"/>
              </w:rPr>
              <w:t xml:space="preserve">AR team</w:t>
            </w:r>
          </w:p>
        </w:tc>
        <w:tc>
          <w:tcPr>
            <w:tcW w:type="dxa" w:w="2100"/>
            <w:vAlign w:val="center"/>
          </w:tcPr>
          <w:p>
            <w:pPr>
              <w:spacing w:after="0" w:before="0" w:line="240" w:lineRule="auto"/>
            </w:pPr>
            <w:r>
              <w:rPr>
                <w:color w:val="000000"/>
                <w:sz w:val="17"/>
              </w:rPr>
              <w:t xml:space="preserve">Credit Controller (sales ledger)</w:t>
            </w:r>
          </w:p>
        </w:tc>
        <w:tc>
          <w:tcPr>
            <w:tcW w:type="dxa" w:w="1500"/>
            <w:vAlign w:val="center"/>
          </w:tcPr>
          <w:p>
            <w:pPr>
              <w:spacing w:after="0" w:before="0" w:line="240" w:lineRule="auto"/>
            </w:pPr>
            <w:r>
              <w:rPr>
                <w:color w:val="000000"/>
                <w:sz w:val="17"/>
              </w:rPr>
              <w:t xml:space="preserve">Finance Manager</w:t>
            </w:r>
          </w:p>
        </w:tc>
        <w:tc>
          <w:tcPr>
            <w:tcW w:type="dxa" w:w="700"/>
            <w:vAlign w:val="center"/>
          </w:tcPr>
          <w:p>
            <w:pPr>
              <w:spacing w:after="0" w:before="0" w:line="240" w:lineRule="auto"/>
            </w:pPr>
            <w:r>
              <w:rPr>
                <w:color w:val="000000"/>
                <w:sz w:val="17"/>
                <w:highlight w:val="yellow"/>
              </w:rPr>
              <w:t xml:space="preserve">[1]</w:t>
            </w:r>
          </w:p>
        </w:tc>
        <w:tc>
          <w:tcPr>
            <w:tcW w:type="dxa" w:w="900"/>
            <w:vAlign w:val="center"/>
          </w:tcPr>
          <w:p>
            <w:pPr>
              <w:spacing w:after="0" w:before="0" w:line="240" w:lineRule="auto"/>
            </w:pPr>
            <w:r>
              <w:rPr>
                <w:color w:val="000000"/>
                <w:sz w:val="17"/>
                <w:highlight w:val="yellow"/>
              </w:rPr>
              <w:t xml:space="preserve">[33%]</w:t>
            </w:r>
          </w:p>
        </w:tc>
        <w:tc>
          <w:tcPr>
            <w:tcW w:type="dxa" w:w="3124"/>
            <w:vAlign w:val="center"/>
          </w:tcPr>
          <w:p>
            <w:pPr>
              <w:spacing w:after="0" w:before="0" w:line="240" w:lineRule="auto"/>
            </w:pPr>
            <w:r>
              <w:rPr>
                <w:color w:val="000000"/>
                <w:sz w:val="17"/>
              </w:rPr>
              <w:t xml:space="preserve">Bank statements and cash application, manual billing and credit notes, portal uploads, statements, direct debits, credit checks and limits, disputes, collections, refunds, bad-debt provision</w:t>
            </w:r>
          </w:p>
        </w:tc>
      </w:tr>
    </w:tbl>
    <w:p>
      <w:pPr>
        <w:spacing w:after="0"/>
      </w:pPr>
      <w:r>
        <w:rPr>
          <w:sz w:val="18"/>
        </w:rPr>
        <w:t xml:space="preserve">The full list of modelled tasks, with times today and with agents, is in the task inventory at the end of this guide.</w:t>
      </w:r>
    </w:p>
    <w:p>
      <w:pPr>
        <w:pStyle w:val="Title"/>
        <w:pageBreakBefore/>
      </w:pPr>
      <w:r>
        <w:t>CFO office process guide</w:t>
      </w:r>
    </w:p>
    <w:p>
      <w:pPr>
        <w:pStyle w:val="Heading1"/>
      </w:pPr>
      <w:r>
        <w:t xml:space="preserve">Organisation chart</w:t>
      </w:r>
    </w:p>
    <w:p>
      <w:pPr>
        <w:spacing w:after="120"/>
      </w:pPr>
      <w:r>
        <w:t xml:space="preserve">Reporting lines and headcount of the finance team, as assumed in the simulation </w:t>
      </w:r>
      <w:r>
        <w:rPr>
          <w:highlight w:val="yellow"/>
        </w:rPr>
        <w:t xml:space="preserve">[replace with the actual organisation chart]</w:t>
      </w:r>
      <w:r>
        <w:t xml:space="preserve">. The payroll bureau, tax advisers and external auditors are outside the team and not counted in the FTE.</w:t>
      </w:r>
    </w:p>
    <w:p>
      <w:pPr>
        <w:spacing w:after="60"/>
        <w:jc w:val="center"/>
      </w:pPr>
      <w:r>
        <w:drawing>
          <wp:inline distT="0" distB="0" distL="0" distR="0">
            <wp:extent cx="6492240" cy="4915553"/>
            <wp:effectExtent l="0" t="0" r="0" b="0"/>
            <wp:docPr id="4" name="Picture 4" descr="Organisation chart. The CFO (1 FTE) reports to the CEO and board. The Financial Controller (1 FTE) and FP&amp;A (2 FTE: FP&amp;A Manager and Management Accountant) report to the CFO. The Finance Manager (1 FTE) reports to the Financial Controller. The accountants (1.5 FTE), AP team (1 FTE, Purchase Ledger Clerk) and AR team (1 FTE, Credit Controller) report to the Finance Manager. Total 8.5 FTE. The payroll bureau, tax advisers and external auditors are outsourced or external."/>
            <wp:cNvGraphicFramePr>
              <a:graphicFrameLocks noChangeAspect="1"/>
            </wp:cNvGraphicFramePr>
            <a:graphic>
              <a:graphicData uri="http://schemas.openxmlformats.org/drawingml/2006/picture">
                <pic:pic>
                  <pic:nvPicPr>
                    <pic:cNvPr id="4" name="org_chart.png"/>
                    <pic:cNvPicPr/>
                  </pic:nvPicPr>
                  <pic:blipFill>
                    <a:blip r:embed="rId15"/>
                    <a:stretch>
                      <a:fillRect/>
                    </a:stretch>
                  </pic:blipFill>
                  <pic:spPr>
                    <a:xfrm>
                      <a:off x="0" y="0"/>
                      <a:ext cx="6492240" cy="4915553"/>
                    </a:xfrm>
                    <a:prstGeom prst="rect">
                      <a:avLst/>
                    </a:prstGeom>
                  </pic:spPr>
                </pic:pic>
              </a:graphicData>
            </a:graphic>
          </wp:inline>
        </w:drawing>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400"/>
        <w:gridCol w:w="2600"/>
        <w:gridCol w:w="1300"/>
        <w:gridCol w:w="2924"/>
      </w:tblGrid>
      <w:tr>
        <w:trPr>
          <w:tblHeader/>
        </w:trPr>
        <w:tc>
          <w:tcPr>
            <w:tcW w:type="dxa" w:w="3400"/>
            <w:shd w:val="clear" w:color="auto" w:fill="DCE6F1"/>
            <w:vAlign w:val="center"/>
          </w:tcPr>
          <w:p>
            <w:pPr>
              <w:spacing w:after="0" w:before="0" w:line="240" w:lineRule="auto"/>
            </w:pPr>
            <w:r>
              <w:rPr>
                <w:b/>
                <w:color w:val="000000"/>
                <w:sz w:val="17"/>
              </w:rPr>
              <w:t xml:space="preserve">Role</w:t>
            </w:r>
          </w:p>
        </w:tc>
        <w:tc>
          <w:tcPr>
            <w:tcW w:type="dxa" w:w="2600"/>
            <w:shd w:val="clear" w:color="auto" w:fill="DCE6F1"/>
            <w:vAlign w:val="center"/>
          </w:tcPr>
          <w:p>
            <w:pPr>
              <w:spacing w:after="0" w:before="0" w:line="240" w:lineRule="auto"/>
            </w:pPr>
            <w:r>
              <w:rPr>
                <w:b/>
                <w:color w:val="000000"/>
                <w:sz w:val="17"/>
              </w:rPr>
              <w:t xml:space="preserve">Reports to</w:t>
            </w:r>
          </w:p>
        </w:tc>
        <w:tc>
          <w:tcPr>
            <w:tcW w:type="dxa" w:w="1300"/>
            <w:shd w:val="clear" w:color="auto" w:fill="DCE6F1"/>
            <w:vAlign w:val="center"/>
          </w:tcPr>
          <w:p>
            <w:pPr>
              <w:spacing w:after="0" w:before="0" w:line="240" w:lineRule="auto"/>
            </w:pPr>
            <w:r>
              <w:rPr>
                <w:b/>
                <w:color w:val="000000"/>
                <w:sz w:val="17"/>
              </w:rPr>
              <w:t xml:space="preserve">FTE</w:t>
            </w:r>
          </w:p>
        </w:tc>
        <w:tc>
          <w:tcPr>
            <w:tcW w:type="dxa" w:w="2924"/>
            <w:shd w:val="clear" w:color="auto" w:fill="DCE6F1"/>
            <w:vAlign w:val="center"/>
          </w:tcPr>
          <w:p>
            <w:pPr>
              <w:spacing w:after="0" w:before="0" w:line="240" w:lineRule="auto"/>
            </w:pPr>
            <w:r>
              <w:rPr>
                <w:b/>
                <w:color w:val="000000"/>
                <w:sz w:val="17"/>
              </w:rPr>
              <w:t xml:space="preserve">Job titles</w:t>
            </w:r>
          </w:p>
        </w:tc>
      </w:tr>
      <w:tr>
        <w:trPr>
          <w:cantSplit/>
        </w:trPr>
        <w:tc>
          <w:tcPr>
            <w:tcW w:type="dxa" w:w="3400"/>
            <w:vAlign w:val="center"/>
          </w:tcPr>
          <w:p>
            <w:pPr>
              <w:spacing w:after="0" w:before="0" w:line="240" w:lineRule="auto"/>
            </w:pPr>
            <w:r>
              <w:rPr>
                <w:b/>
                <w:color w:val="000000"/>
                <w:sz w:val="17"/>
              </w:rPr>
              <w:t xml:space="preserve">CFO</w:t>
            </w:r>
          </w:p>
        </w:tc>
        <w:tc>
          <w:tcPr>
            <w:tcW w:type="dxa" w:w="2600"/>
            <w:vAlign w:val="center"/>
          </w:tcPr>
          <w:p>
            <w:pPr>
              <w:spacing w:after="0" w:before="0" w:line="240" w:lineRule="auto"/>
            </w:pPr>
            <w:r>
              <w:rPr>
                <w:color w:val="000000"/>
                <w:sz w:val="17"/>
              </w:rPr>
              <w:t xml:space="preserve">CEO and board</w:t>
            </w:r>
          </w:p>
        </w:tc>
        <w:tc>
          <w:tcPr>
            <w:tcW w:type="dxa" w:w="1300"/>
            <w:vAlign w:val="center"/>
          </w:tcPr>
          <w:p>
            <w:pPr>
              <w:spacing w:after="0" w:before="0" w:line="240" w:lineRule="auto"/>
            </w:pPr>
            <w:r>
              <w:rPr>
                <w:color w:val="000000"/>
                <w:sz w:val="17"/>
                <w:highlight w:val="yellow"/>
              </w:rPr>
              <w:t xml:space="preserve">[1]</w:t>
            </w:r>
          </w:p>
        </w:tc>
        <w:tc>
          <w:tcPr>
            <w:tcW w:type="dxa" w:w="2924"/>
            <w:vAlign w:val="center"/>
          </w:tcPr>
          <w:p>
            <w:pPr>
              <w:spacing w:after="0" w:before="0" w:line="240" w:lineRule="auto"/>
            </w:pPr>
            <w:r>
              <w:rPr>
                <w:color w:val="000000"/>
                <w:sz w:val="17"/>
              </w:rPr>
              <w:t xml:space="preserve">Chief Financial Officer</w:t>
            </w:r>
          </w:p>
        </w:tc>
      </w:tr>
      <w:tr>
        <w:trPr>
          <w:cantSplit/>
        </w:trPr>
        <w:tc>
          <w:tcPr>
            <w:tcW w:type="dxa" w:w="3400"/>
            <w:vAlign w:val="center"/>
          </w:tcPr>
          <w:p>
            <w:pPr>
              <w:spacing w:after="0" w:before="0" w:line="240" w:lineRule="auto"/>
            </w:pPr>
            <w:r>
              <w:rPr>
                <w:b/>
                <w:color w:val="000000"/>
                <w:sz w:val="17"/>
              </w:rPr>
              <w:t xml:space="preserve">Financial Controller</w:t>
            </w:r>
          </w:p>
        </w:tc>
        <w:tc>
          <w:tcPr>
            <w:tcW w:type="dxa" w:w="2600"/>
            <w:vAlign w:val="center"/>
          </w:tcPr>
          <w:p>
            <w:pPr>
              <w:spacing w:after="0" w:before="0" w:line="240" w:lineRule="auto"/>
            </w:pPr>
            <w:r>
              <w:rPr>
                <w:color w:val="000000"/>
                <w:sz w:val="17"/>
              </w:rPr>
              <w:t xml:space="preserve">CFO</w:t>
            </w:r>
          </w:p>
        </w:tc>
        <w:tc>
          <w:tcPr>
            <w:tcW w:type="dxa" w:w="1300"/>
            <w:vAlign w:val="center"/>
          </w:tcPr>
          <w:p>
            <w:pPr>
              <w:spacing w:after="0" w:before="0" w:line="240" w:lineRule="auto"/>
            </w:pPr>
            <w:r>
              <w:rPr>
                <w:color w:val="000000"/>
                <w:sz w:val="17"/>
                <w:highlight w:val="yellow"/>
              </w:rPr>
              <w:t xml:space="preserve">[1]</w:t>
            </w:r>
          </w:p>
        </w:tc>
        <w:tc>
          <w:tcPr>
            <w:tcW w:type="dxa" w:w="2924"/>
            <w:vAlign w:val="center"/>
          </w:tcPr>
          <w:p>
            <w:pPr>
              <w:spacing w:after="0" w:before="0" w:line="240" w:lineRule="auto"/>
            </w:pPr>
            <w:r>
              <w:rPr>
                <w:color w:val="000000"/>
                <w:sz w:val="17"/>
              </w:rPr>
              <w:t xml:space="preserve">Financial Controller</w:t>
            </w:r>
          </w:p>
        </w:tc>
      </w:tr>
      <w:tr>
        <w:trPr>
          <w:cantSplit/>
        </w:trPr>
        <w:tc>
          <w:tcPr>
            <w:tcW w:type="dxa" w:w="3400"/>
            <w:vAlign w:val="center"/>
          </w:tcPr>
          <w:p>
            <w:pPr>
              <w:spacing w:after="0" w:before="0" w:line="240" w:lineRule="auto"/>
            </w:pPr>
            <w:r>
              <w:rPr>
                <w:b/>
                <w:color w:val="000000"/>
                <w:sz w:val="17"/>
              </w:rPr>
              <w:t xml:space="preserve">FP&amp;A</w:t>
            </w:r>
          </w:p>
        </w:tc>
        <w:tc>
          <w:tcPr>
            <w:tcW w:type="dxa" w:w="2600"/>
            <w:vAlign w:val="center"/>
          </w:tcPr>
          <w:p>
            <w:pPr>
              <w:spacing w:after="0" w:before="0" w:line="240" w:lineRule="auto"/>
            </w:pPr>
            <w:r>
              <w:rPr>
                <w:color w:val="000000"/>
                <w:sz w:val="17"/>
              </w:rPr>
              <w:t xml:space="preserve">CFO</w:t>
            </w:r>
          </w:p>
        </w:tc>
        <w:tc>
          <w:tcPr>
            <w:tcW w:type="dxa" w:w="1300"/>
            <w:vAlign w:val="center"/>
          </w:tcPr>
          <w:p>
            <w:pPr>
              <w:spacing w:after="0" w:before="0" w:line="240" w:lineRule="auto"/>
            </w:pPr>
            <w:r>
              <w:rPr>
                <w:color w:val="000000"/>
                <w:sz w:val="17"/>
                <w:highlight w:val="yellow"/>
              </w:rPr>
              <w:t xml:space="preserve">[2]</w:t>
            </w:r>
          </w:p>
        </w:tc>
        <w:tc>
          <w:tcPr>
            <w:tcW w:type="dxa" w:w="2924"/>
            <w:vAlign w:val="center"/>
          </w:tcPr>
          <w:p>
            <w:pPr>
              <w:spacing w:after="0" w:before="0" w:line="240" w:lineRule="auto"/>
            </w:pPr>
            <w:r>
              <w:rPr>
                <w:color w:val="000000"/>
                <w:sz w:val="17"/>
              </w:rPr>
              <w:t xml:space="preserve">FP&amp;A Manager, Management Accountant</w:t>
            </w:r>
          </w:p>
        </w:tc>
      </w:tr>
      <w:tr>
        <w:trPr>
          <w:cantSplit/>
        </w:trPr>
        <w:tc>
          <w:tcPr>
            <w:tcW w:type="dxa" w:w="3400"/>
            <w:vAlign w:val="center"/>
          </w:tcPr>
          <w:p>
            <w:pPr>
              <w:spacing w:after="0" w:before="0" w:line="240" w:lineRule="auto"/>
            </w:pPr>
            <w:r>
              <w:rPr>
                <w:b/>
                <w:color w:val="000000"/>
                <w:sz w:val="17"/>
              </w:rPr>
              <w:t xml:space="preserve">Finance Manager</w:t>
            </w:r>
          </w:p>
        </w:tc>
        <w:tc>
          <w:tcPr>
            <w:tcW w:type="dxa" w:w="2600"/>
            <w:vAlign w:val="center"/>
          </w:tcPr>
          <w:p>
            <w:pPr>
              <w:spacing w:after="0" w:before="0" w:line="240" w:lineRule="auto"/>
            </w:pPr>
            <w:r>
              <w:rPr>
                <w:color w:val="000000"/>
                <w:sz w:val="17"/>
              </w:rPr>
              <w:t xml:space="preserve">Financial Controller</w:t>
            </w:r>
          </w:p>
        </w:tc>
        <w:tc>
          <w:tcPr>
            <w:tcW w:type="dxa" w:w="1300"/>
            <w:vAlign w:val="center"/>
          </w:tcPr>
          <w:p>
            <w:pPr>
              <w:spacing w:after="0" w:before="0" w:line="240" w:lineRule="auto"/>
            </w:pPr>
            <w:r>
              <w:rPr>
                <w:color w:val="000000"/>
                <w:sz w:val="17"/>
                <w:highlight w:val="yellow"/>
              </w:rPr>
              <w:t xml:space="preserve">[1]</w:t>
            </w:r>
          </w:p>
        </w:tc>
        <w:tc>
          <w:tcPr>
            <w:tcW w:type="dxa" w:w="2924"/>
            <w:vAlign w:val="center"/>
          </w:tcPr>
          <w:p>
            <w:pPr>
              <w:spacing w:after="0" w:before="0" w:line="240" w:lineRule="auto"/>
            </w:pPr>
            <w:r>
              <w:rPr>
                <w:color w:val="000000"/>
                <w:sz w:val="17"/>
              </w:rPr>
              <w:t xml:space="preserve">Finance Manager</w:t>
            </w:r>
          </w:p>
        </w:tc>
      </w:tr>
      <w:tr>
        <w:trPr>
          <w:cantSplit/>
        </w:trPr>
        <w:tc>
          <w:tcPr>
            <w:tcW w:type="dxa" w:w="3400"/>
            <w:vAlign w:val="center"/>
          </w:tcPr>
          <w:p>
            <w:pPr>
              <w:spacing w:after="0" w:before="0" w:line="240" w:lineRule="auto"/>
            </w:pPr>
            <w:r>
              <w:rPr>
                <w:b/>
                <w:color w:val="000000"/>
                <w:sz w:val="17"/>
              </w:rPr>
              <w:t xml:space="preserve">Accountants</w:t>
            </w:r>
          </w:p>
        </w:tc>
        <w:tc>
          <w:tcPr>
            <w:tcW w:type="dxa" w:w="2600"/>
            <w:vAlign w:val="center"/>
          </w:tcPr>
          <w:p>
            <w:pPr>
              <w:spacing w:after="0" w:before="0" w:line="240" w:lineRule="auto"/>
            </w:pPr>
            <w:r>
              <w:rPr>
                <w:color w:val="000000"/>
                <w:sz w:val="17"/>
              </w:rPr>
              <w:t xml:space="preserve">Finance Manager</w:t>
            </w:r>
          </w:p>
        </w:tc>
        <w:tc>
          <w:tcPr>
            <w:tcW w:type="dxa" w:w="1300"/>
            <w:vAlign w:val="center"/>
          </w:tcPr>
          <w:p>
            <w:pPr>
              <w:spacing w:after="0" w:before="0" w:line="240" w:lineRule="auto"/>
            </w:pPr>
            <w:r>
              <w:rPr>
                <w:color w:val="000000"/>
                <w:sz w:val="17"/>
                <w:highlight w:val="yellow"/>
              </w:rPr>
              <w:t xml:space="preserve">[1.5]</w:t>
            </w:r>
          </w:p>
        </w:tc>
        <w:tc>
          <w:tcPr>
            <w:tcW w:type="dxa" w:w="2924"/>
            <w:vAlign w:val="center"/>
          </w:tcPr>
          <w:p>
            <w:pPr>
              <w:spacing w:after="0" w:before="0" w:line="240" w:lineRule="auto"/>
            </w:pPr>
            <w:r>
              <w:rPr>
                <w:color w:val="000000"/>
                <w:sz w:val="17"/>
              </w:rPr>
              <w:t xml:space="preserve">Financial Accountant, part-time Assistant Accountant</w:t>
            </w:r>
          </w:p>
        </w:tc>
      </w:tr>
      <w:tr>
        <w:trPr>
          <w:cantSplit/>
        </w:trPr>
        <w:tc>
          <w:tcPr>
            <w:tcW w:type="dxa" w:w="3400"/>
            <w:vAlign w:val="center"/>
          </w:tcPr>
          <w:p>
            <w:pPr>
              <w:spacing w:after="0" w:before="0" w:line="240" w:lineRule="auto"/>
            </w:pPr>
            <w:r>
              <w:rPr>
                <w:b/>
                <w:color w:val="000000"/>
                <w:sz w:val="17"/>
              </w:rPr>
              <w:t xml:space="preserve">AP team</w:t>
            </w:r>
          </w:p>
        </w:tc>
        <w:tc>
          <w:tcPr>
            <w:tcW w:type="dxa" w:w="2600"/>
            <w:vAlign w:val="center"/>
          </w:tcPr>
          <w:p>
            <w:pPr>
              <w:spacing w:after="0" w:before="0" w:line="240" w:lineRule="auto"/>
            </w:pPr>
            <w:r>
              <w:rPr>
                <w:color w:val="000000"/>
                <w:sz w:val="17"/>
              </w:rPr>
              <w:t xml:space="preserve">Finance Manager</w:t>
            </w:r>
          </w:p>
        </w:tc>
        <w:tc>
          <w:tcPr>
            <w:tcW w:type="dxa" w:w="1300"/>
            <w:vAlign w:val="center"/>
          </w:tcPr>
          <w:p>
            <w:pPr>
              <w:spacing w:after="0" w:before="0" w:line="240" w:lineRule="auto"/>
            </w:pPr>
            <w:r>
              <w:rPr>
                <w:color w:val="000000"/>
                <w:sz w:val="17"/>
                <w:highlight w:val="yellow"/>
              </w:rPr>
              <w:t xml:space="preserve">[1]</w:t>
            </w:r>
          </w:p>
        </w:tc>
        <w:tc>
          <w:tcPr>
            <w:tcW w:type="dxa" w:w="2924"/>
            <w:vAlign w:val="center"/>
          </w:tcPr>
          <w:p>
            <w:pPr>
              <w:spacing w:after="0" w:before="0" w:line="240" w:lineRule="auto"/>
            </w:pPr>
            <w:r>
              <w:rPr>
                <w:color w:val="000000"/>
                <w:sz w:val="17"/>
              </w:rPr>
              <w:t xml:space="preserve">Purchase Ledger Clerk</w:t>
            </w:r>
          </w:p>
        </w:tc>
      </w:tr>
      <w:tr>
        <w:trPr>
          <w:cantSplit/>
        </w:trPr>
        <w:tc>
          <w:tcPr>
            <w:tcW w:type="dxa" w:w="3400"/>
            <w:vAlign w:val="center"/>
          </w:tcPr>
          <w:p>
            <w:pPr>
              <w:spacing w:after="0" w:before="0" w:line="240" w:lineRule="auto"/>
            </w:pPr>
            <w:r>
              <w:rPr>
                <w:b/>
                <w:color w:val="000000"/>
                <w:sz w:val="17"/>
              </w:rPr>
              <w:t xml:space="preserve">AR team</w:t>
            </w:r>
          </w:p>
        </w:tc>
        <w:tc>
          <w:tcPr>
            <w:tcW w:type="dxa" w:w="2600"/>
            <w:vAlign w:val="center"/>
          </w:tcPr>
          <w:p>
            <w:pPr>
              <w:spacing w:after="0" w:before="0" w:line="240" w:lineRule="auto"/>
            </w:pPr>
            <w:r>
              <w:rPr>
                <w:color w:val="000000"/>
                <w:sz w:val="17"/>
              </w:rPr>
              <w:t xml:space="preserve">Finance Manager</w:t>
            </w:r>
          </w:p>
        </w:tc>
        <w:tc>
          <w:tcPr>
            <w:tcW w:type="dxa" w:w="1300"/>
            <w:vAlign w:val="center"/>
          </w:tcPr>
          <w:p>
            <w:pPr>
              <w:spacing w:after="0" w:before="0" w:line="240" w:lineRule="auto"/>
            </w:pPr>
            <w:r>
              <w:rPr>
                <w:color w:val="000000"/>
                <w:sz w:val="17"/>
                <w:highlight w:val="yellow"/>
              </w:rPr>
              <w:t xml:space="preserve">[1]</w:t>
            </w:r>
          </w:p>
        </w:tc>
        <w:tc>
          <w:tcPr>
            <w:tcW w:type="dxa" w:w="2924"/>
            <w:vAlign w:val="center"/>
          </w:tcPr>
          <w:p>
            <w:pPr>
              <w:spacing w:after="0" w:before="0" w:line="240" w:lineRule="auto"/>
            </w:pPr>
            <w:r>
              <w:rPr>
                <w:color w:val="000000"/>
                <w:sz w:val="17"/>
              </w:rPr>
              <w:t xml:space="preserve">Credit Controller (sales ledger)</w:t>
            </w:r>
          </w:p>
        </w:tc>
      </w:tr>
      <w:tr>
        <w:trPr>
          <w:cantSplit/>
        </w:trPr>
        <w:tc>
          <w:tcPr>
            <w:tcW w:type="dxa" w:w="3400"/>
            <w:vAlign w:val="center"/>
          </w:tcPr>
          <w:p>
            <w:pPr>
              <w:spacing w:after="0" w:before="0" w:line="240" w:lineRule="auto"/>
            </w:pPr>
            <w:r>
              <w:rPr>
                <w:b/>
                <w:color w:val="000000"/>
                <w:sz w:val="17"/>
              </w:rPr>
              <w:t xml:space="preserve">Total</w:t>
            </w:r>
          </w:p>
        </w:tc>
        <w:tc>
          <w:tcPr>
            <w:tcW w:type="dxa" w:w="2600"/>
            <w:vAlign w:val="center"/>
          </w:tcPr>
          <w:p>
            <w:pPr>
              <w:spacing w:after="0" w:before="0" w:line="240" w:lineRule="auto"/>
            </w:pPr>
          </w:p>
        </w:tc>
        <w:tc>
          <w:tcPr>
            <w:tcW w:type="dxa" w:w="1300"/>
            <w:vAlign w:val="center"/>
          </w:tcPr>
          <w:p>
            <w:pPr>
              <w:spacing w:after="0" w:before="0" w:line="240" w:lineRule="auto"/>
            </w:pPr>
            <w:r>
              <w:rPr>
                <w:color w:val="000000"/>
                <w:sz w:val="17"/>
                <w:highlight w:val="yellow"/>
              </w:rPr>
              <w:t xml:space="preserve">[8.5]</w:t>
            </w:r>
          </w:p>
        </w:tc>
        <w:tc>
          <w:tcPr>
            <w:tcW w:type="dxa" w:w="2924"/>
            <w:vAlign w:val="center"/>
          </w:tcPr>
          <w:p>
            <w:pPr>
              <w:spacing w:after="0" w:before="0" w:line="240" w:lineRule="auto"/>
            </w:pPr>
          </w:p>
        </w:tc>
      </w:tr>
    </w:tbl>
    <w:p>
      <w:pPr>
        <w:pStyle w:val="Title"/>
        <w:pageBreakBefore/>
      </w:pPr>
      <w:r>
        <w:t>CFO office process guide</w:t>
      </w:r>
    </w:p>
    <w:p>
      <w:pPr>
        <w:pStyle w:val="Heading1"/>
      </w:pPr>
      <w:r>
        <w:t xml:space="preserve">How each role spends its time</w:t>
      </w:r>
    </w:p>
    <w:p>
      <w:pPr>
        <w:spacing w:after="80"/>
      </w:pPr>
      <w:r>
        <w:t xml:space="preserve">Each chart splits a role’s available time in a typical month (April, after leave) between its largest modelled tasks, all its other modelled tasks, other work that is not modelled task by task, and spare capacity. The figures come from the simulation on the default assumptions </w:t>
      </w:r>
      <w:r>
        <w:rPr>
          <w:highlight w:val="yellow"/>
        </w:rPr>
        <w:t xml:space="preserve">[replace with the activity log]</w:t>
      </w:r>
      <w:r>
        <w:t xml:space="preserve">; the simulation shows the same charts for any month, by task or by process.</w:t>
      </w:r>
    </w:p>
    <w:p>
      <w:pPr>
        <w:spacing w:after="60"/>
        <w:jc w:val="center"/>
      </w:pPr>
      <w:r>
        <w:drawing>
          <wp:inline distT="0" distB="0" distL="0" distR="0">
            <wp:extent cx="6492240" cy="6874703"/>
            <wp:effectExtent l="0" t="0" r="0" b="0"/>
            <wp:docPr id="5" name="Picture 5" descr="Donut charts showing how each of the seven roles spends its time today, by task, for April. The AP team uses 96% of its time, with supplier invoice exceptions the largest task at 30%. Other work not modelled task by task ranges from 27% for the AP team to 54% for the Financial Controller."/>
            <wp:cNvGraphicFramePr>
              <a:graphicFrameLocks noChangeAspect="1"/>
            </wp:cNvGraphicFramePr>
            <a:graphic>
              <a:graphicData uri="http://schemas.openxmlformats.org/drawingml/2006/picture">
                <pic:pic>
                  <pic:nvPicPr>
                    <pic:cNvPr id="5" name="roletime_today.png"/>
                    <pic:cNvPicPr/>
                  </pic:nvPicPr>
                  <pic:blipFill>
                    <a:blip r:embed="rId16"/>
                    <a:stretch>
                      <a:fillRect/>
                    </a:stretch>
                  </pic:blipFill>
                  <pic:spPr>
                    <a:xfrm>
                      <a:off x="0" y="0"/>
                      <a:ext cx="6492240" cy="6874703"/>
                    </a:xfrm>
                    <a:prstGeom prst="rect">
                      <a:avLst/>
                    </a:prstGeom>
                  </pic:spPr>
                </pic:pic>
              </a:graphicData>
            </a:graphic>
          </wp:inline>
        </w:drawing>
      </w:r>
    </w:p>
    <w:p>
      <w:pPr>
        <w:pStyle w:val="Title"/>
        <w:pageBreakBefore/>
      </w:pPr>
      <w:r>
        <w:t>CFO office process guide</w:t>
      </w:r>
    </w:p>
    <w:p>
      <w:pPr>
        <w:pStyle w:val="Heading1"/>
      </w:pPr>
      <w:r>
        <w:t xml:space="preserve">How each role spends its time, with agents</w:t>
      </w:r>
    </w:p>
    <w:p>
      <w:pPr>
        <w:spacing w:after="80"/>
      </w:pPr>
      <w:r>
        <w:t xml:space="preserve">The same month in the recommended model. Agents take most of the preparation work, so modelled task time falls for every role except the Finance Manager, who runs the agents. Other work is assumed unchanged, so the freed time shows as spare capacity.</w:t>
      </w:r>
    </w:p>
    <w:p>
      <w:pPr>
        <w:spacing w:after="60"/>
        <w:jc w:val="center"/>
      </w:pPr>
      <w:r>
        <w:drawing>
          <wp:inline distT="0" distB="0" distL="0" distR="0">
            <wp:extent cx="6492240" cy="6874703"/>
            <wp:effectExtent l="0" t="0" r="0" b="0"/>
            <wp:docPr id="6" name="Picture 6" descr="Donut charts showing how each role spends its time with agents, by task, for April. Spare capacity rises substantially for the AP, AR, accountants and FP&amp;A roles, while the Finance Manager remains the most heavily used role."/>
            <wp:cNvGraphicFramePr>
              <a:graphicFrameLocks noChangeAspect="1"/>
            </wp:cNvGraphicFramePr>
            <a:graphic>
              <a:graphicData uri="http://schemas.openxmlformats.org/drawingml/2006/picture">
                <pic:pic>
                  <pic:nvPicPr>
                    <pic:cNvPr id="6" name="roletime_rec.png"/>
                    <pic:cNvPicPr/>
                  </pic:nvPicPr>
                  <pic:blipFill>
                    <a:blip r:embed="rId17"/>
                    <a:stretch>
                      <a:fillRect/>
                    </a:stretch>
                  </pic:blipFill>
                  <pic:spPr>
                    <a:xfrm>
                      <a:off x="0" y="0"/>
                      <a:ext cx="6492240" cy="6874703"/>
                    </a:xfrm>
                    <a:prstGeom prst="rect">
                      <a:avLst/>
                    </a:prstGeom>
                  </pic:spPr>
                </pic:pic>
              </a:graphicData>
            </a:graphic>
          </wp:inline>
        </w:drawing>
      </w:r>
    </w:p>
    <w:p>
      <w:pPr>
        <w:pStyle w:val="Title"/>
        <w:pageBreakBefore/>
      </w:pPr>
      <w:r>
        <w:t>CFO office process guide</w:t>
      </w:r>
    </w:p>
    <w:p>
      <w:pPr>
        <w:pStyle w:val="Heading1"/>
      </w:pPr>
      <w:r>
        <w:t>01  Strategy and financial planning</w:t>
      </w:r>
    </w:p>
    <w:p>
      <w:pPr>
        <w:spacing w:after="100"/>
      </w:pPr>
      <w:r>
        <w:rPr>
          <w:sz w:val="20"/>
        </w:rPr>
        <w:t xml:space="preserve">Translate business strategy into an affordable financial plan, with explicit assumptions, resource choices and funding needs. The process connects long-term objectives to the annual budget and rolling forecasts, so management can commit resources and respond when conditions change.</w:t>
      </w:r>
    </w:p>
    <w:p>
      <w:pPr>
        <w:spacing w:after="80"/>
      </w:pPr>
      <w:r>
        <w:rPr>
          <w:b/>
          <w:sz w:val="20"/>
        </w:rPr>
        <w:t xml:space="preserve">Ownership and participants: </w:t>
      </w:r>
      <w:r>
        <w:rPr>
          <w:sz w:val="20"/>
        </w:rPr>
        <w:t xml:space="preserve">CFO accountable; the FP&amp;A Manager runs the cycle. Budget holders own their assumptions and budgets; the CEO and board approve within delegated authority.</w:t>
      </w:r>
    </w:p>
    <w:p>
      <w:pPr>
        <w:spacing w:after="80"/>
      </w:pPr>
      <w:r>
        <w:rPr>
          <w:b/>
          <w:sz w:val="20"/>
        </w:rPr>
        <w:t xml:space="preserve">Cadence today: </w:t>
      </w:r>
      <w:r>
        <w:rPr>
          <w:sz w:val="20"/>
        </w:rPr>
        <w:t xml:space="preserve">Annual budget prepared over the three months before year-end and approved before the year starts; three-year plan; quarterly reforecast; refresh after material changes.</w:t>
      </w:r>
    </w:p>
    <w:p>
      <w:pPr>
        <w:spacing w:after="80"/>
      </w:pPr>
      <w:r>
        <w:rPr>
          <w:b/>
          <w:sz w:val="20"/>
        </w:rPr>
        <w:t xml:space="preserve">Key inputs: </w:t>
      </w:r>
      <w:r>
        <w:rPr>
          <w:sz w:val="20"/>
        </w:rPr>
        <w:t xml:space="preserve">Strategy and targets; historical actuals; sales pipeline and pricing; workforce plans from HR; operating capacity and supplier costs; investment proposals; tax assumptions; opening cash, debt and funding constraints.</w:t>
      </w:r>
    </w:p>
    <w:p>
      <w:pPr>
        <w:spacing w:after="80"/>
      </w:pPr>
      <w:r>
        <w:rPr>
          <w:b/>
          <w:sz w:val="20"/>
        </w:rPr>
        <w:t xml:space="preserve">Key outputs: </w:t>
      </w:r>
      <w:r>
        <w:rPr>
          <w:sz w:val="20"/>
        </w:rPr>
        <w:t xml:space="preserve">Approved budget; integrated profit and loss, balance sheet and cash flow forecasts; resource allocations; scenario comparisons; assumption register; planning calendar and named budget owners.</w:t>
      </w:r>
    </w:p>
    <w:p>
      <w:pPr>
        <w:spacing w:after="80"/>
      </w:pPr>
      <w:r>
        <w:rPr>
          <w:b/>
          <w:sz w:val="20"/>
        </w:rPr>
        <w:t xml:space="preserve">Dependencies and handoffs: </w:t>
      </w:r>
      <w:r>
        <w:rPr>
          <w:sz w:val="20"/>
        </w:rPr>
        <w:t xml:space="preserve">Requires reliable actuals from accounting (3), drivers from performance analysis (2), cash constraints from treasury (6), tax estimates (7) and investment choices (9). Supplies baselines to performance management (2) and the outlook for board reporting (10).</w:t>
      </w:r>
    </w:p>
    <w:p>
      <w:pPr>
        <w:spacing w:after="80"/>
      </w:pPr>
      <w:r>
        <w:rPr>
          <w:b/>
          <w:sz w:val="20"/>
        </w:rPr>
        <w:t xml:space="preserve">Current practice and workarounds: </w:t>
      </w:r>
      <w:r>
        <w:rPr>
          <w:sz w:val="20"/>
        </w:rPr>
        <w:t xml:space="preserve">Owner: CFO, with the FP&amp;A Manager running the cycle. Planning runs entirely in Excel; budget holders submit Excel templates saved on SharePoint. Assumptions are held in </w:t>
      </w:r>
      <w:r>
        <w:rPr>
          <w:sz w:val="20"/>
          <w:highlight w:val="yellow"/>
        </w:rPr>
        <w:t xml:space="preserve">[assumption register location / not formally held]</w:t>
      </w:r>
      <w:r>
        <w:rPr>
          <w:sz w:val="20"/>
        </w:rPr>
        <w:t xml:space="preserve">. Actuals are exported from the Cloud ERP and mapped to the plan in </w:t>
      </w:r>
      <w:r>
        <w:rPr>
          <w:sz w:val="20"/>
          <w:highlight w:val="yellow"/>
        </w:rPr>
        <w:t xml:space="preserve">[workbook]</w:t>
      </w:r>
      <w:r>
        <w:rPr>
          <w:sz w:val="20"/>
        </w:rPr>
        <w:t xml:space="preserve">. Known pain points: </w:t>
      </w:r>
      <w:r>
        <w:rPr>
          <w:sz w:val="20"/>
          <w:highlight w:val="yellow"/>
        </w:rPr>
        <w:t xml:space="preserve">[e.g. version control across workbooks, late headcount data]</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Set direction</w:t>
            </w:r>
          </w:p>
        </w:tc>
        <w:tc>
          <w:tcPr>
            <w:tcW w:type="dxa" w:w="1850"/>
            <w:vAlign w:val="center"/>
          </w:tcPr>
          <w:p>
            <w:pPr>
              <w:spacing w:after="0" w:before="0" w:line="240" w:lineRule="auto"/>
            </w:pPr>
            <w:r>
              <w:rPr>
                <w:color w:val="000000"/>
                <w:sz w:val="18"/>
              </w:rPr>
              <w:t xml:space="preserve">CFO and CEO</w:t>
            </w:r>
          </w:p>
        </w:tc>
        <w:tc>
          <w:tcPr>
            <w:tcW w:type="dxa" w:w="4374"/>
            <w:vAlign w:val="center"/>
          </w:tcPr>
          <w:p>
            <w:pPr>
              <w:spacing w:after="0" w:before="0" w:line="240" w:lineRule="auto"/>
            </w:pPr>
            <w:r>
              <w:rPr>
                <w:color w:val="000000"/>
                <w:sz w:val="18"/>
              </w:rPr>
              <w:t xml:space="preserve">Agree strategic priorities, planning horizon, financial targets and constraints. FP&amp;A issues the timetable, templates and common assumptions.</w:t>
            </w:r>
          </w:p>
        </w:tc>
        <w:tc>
          <w:tcPr>
            <w:tcW w:type="dxa" w:w="2200"/>
            <w:vAlign w:val="center"/>
          </w:tcPr>
          <w:p>
            <w:pPr>
              <w:spacing w:after="0" w:before="0" w:line="240" w:lineRule="auto"/>
            </w:pPr>
            <w:r>
              <w:rPr>
                <w:color w:val="000000"/>
                <w:sz w:val="18"/>
                <w:highlight w:val="yellow"/>
              </w:rPr>
              <w:t xml:space="preserve">[Strategy paper / board deck]</w:t>
            </w:r>
          </w:p>
        </w:tc>
      </w:tr>
      <w:tr>
        <w:trPr>
          <w:cantSplit/>
        </w:trPr>
        <w:tc>
          <w:tcPr>
            <w:tcW w:type="dxa" w:w="1800"/>
            <w:vAlign w:val="center"/>
          </w:tcPr>
          <w:p>
            <w:pPr>
              <w:spacing w:after="0" w:before="0" w:line="240" w:lineRule="auto"/>
            </w:pPr>
            <w:r>
              <w:rPr>
                <w:b/>
                <w:color w:val="000000"/>
                <w:sz w:val="18"/>
              </w:rPr>
              <w:t xml:space="preserve">2  Build operating plans</w:t>
            </w:r>
          </w:p>
        </w:tc>
        <w:tc>
          <w:tcPr>
            <w:tcW w:type="dxa" w:w="1850"/>
            <w:vAlign w:val="center"/>
          </w:tcPr>
          <w:p>
            <w:pPr>
              <w:spacing w:after="0" w:before="0" w:line="240" w:lineRule="auto"/>
            </w:pPr>
            <w:r>
              <w:rPr>
                <w:color w:val="000000"/>
                <w:sz w:val="18"/>
              </w:rPr>
              <w:t xml:space="preserve">Budget holders, HR and FP&amp;A</w:t>
            </w:r>
          </w:p>
        </w:tc>
        <w:tc>
          <w:tcPr>
            <w:tcW w:type="dxa" w:w="4374"/>
            <w:vAlign w:val="center"/>
          </w:tcPr>
          <w:p>
            <w:pPr>
              <w:spacing w:after="0" w:before="0" w:line="240" w:lineRule="auto"/>
            </w:pPr>
            <w:r>
              <w:rPr>
                <w:color w:val="000000"/>
                <w:sz w:val="18"/>
              </w:rPr>
              <w:t xml:space="preserve">Estimate demand, pricing, headcount, costs and capital needs using operational drivers. Document assumptions and assign an owner to each submission.</w:t>
            </w:r>
          </w:p>
        </w:tc>
        <w:tc>
          <w:tcPr>
            <w:tcW w:type="dxa" w:w="2200"/>
            <w:vAlign w:val="center"/>
          </w:tcPr>
          <w:p>
            <w:pPr>
              <w:spacing w:after="0" w:before="0" w:line="240" w:lineRule="auto"/>
            </w:pPr>
            <w:r>
              <w:rPr>
                <w:color w:val="000000"/>
                <w:sz w:val="18"/>
              </w:rPr>
              <w:t xml:space="preserve">Excel templates on SharePoint; HR system for headcount</w:t>
            </w:r>
          </w:p>
        </w:tc>
      </w:tr>
      <w:tr>
        <w:trPr>
          <w:cantSplit/>
        </w:trPr>
        <w:tc>
          <w:tcPr>
            <w:tcW w:type="dxa" w:w="1800"/>
            <w:vAlign w:val="center"/>
          </w:tcPr>
          <w:p>
            <w:pPr>
              <w:spacing w:after="0" w:before="0" w:line="240" w:lineRule="auto"/>
            </w:pPr>
            <w:r>
              <w:rPr>
                <w:b/>
                <w:color w:val="000000"/>
                <w:sz w:val="18"/>
              </w:rPr>
              <w:t xml:space="preserve">3  Integrate the numbers</w:t>
            </w:r>
          </w:p>
        </w:tc>
        <w:tc>
          <w:tcPr>
            <w:tcW w:type="dxa" w:w="1850"/>
            <w:vAlign w:val="center"/>
          </w:tcPr>
          <w:p>
            <w:pPr>
              <w:spacing w:after="0" w:before="0" w:line="240" w:lineRule="auto"/>
            </w:pPr>
            <w:r>
              <w:rPr>
                <w:color w:val="000000"/>
                <w:sz w:val="18"/>
              </w:rPr>
              <w:t xml:space="preserve">FP&amp;A Manager</w:t>
            </w:r>
          </w:p>
        </w:tc>
        <w:tc>
          <w:tcPr>
            <w:tcW w:type="dxa" w:w="4374"/>
            <w:vAlign w:val="center"/>
          </w:tcPr>
          <w:p>
            <w:pPr>
              <w:spacing w:after="0" w:before="0" w:line="240" w:lineRule="auto"/>
            </w:pPr>
            <w:r>
              <w:rPr>
                <w:color w:val="000000"/>
                <w:sz w:val="18"/>
              </w:rPr>
              <w:t xml:space="preserve">Consolidate submissions into linked financial statements. Check interdependencies, working capital, funding needs and consistency across business units.</w:t>
            </w:r>
          </w:p>
        </w:tc>
        <w:tc>
          <w:tcPr>
            <w:tcW w:type="dxa" w:w="2200"/>
            <w:vAlign w:val="center"/>
          </w:tcPr>
          <w:p>
            <w:pPr>
              <w:spacing w:after="0" w:before="0" w:line="240" w:lineRule="auto"/>
            </w:pPr>
            <w:r>
              <w:rPr>
                <w:color w:val="000000"/>
                <w:sz w:val="18"/>
              </w:rPr>
              <w:t xml:space="preserve">Excel planning model; actuals exported from Cloud ERP</w:t>
            </w:r>
          </w:p>
        </w:tc>
      </w:tr>
      <w:tr>
        <w:trPr>
          <w:cantSplit/>
        </w:trPr>
        <w:tc>
          <w:tcPr>
            <w:tcW w:type="dxa" w:w="1800"/>
            <w:vAlign w:val="center"/>
          </w:tcPr>
          <w:p>
            <w:pPr>
              <w:spacing w:after="0" w:before="0" w:line="240" w:lineRule="auto"/>
            </w:pPr>
            <w:r>
              <w:rPr>
                <w:b/>
                <w:color w:val="000000"/>
                <w:sz w:val="18"/>
              </w:rPr>
              <w:t xml:space="preserve">4  Challenge and revise</w:t>
            </w:r>
          </w:p>
        </w:tc>
        <w:tc>
          <w:tcPr>
            <w:tcW w:type="dxa" w:w="1850"/>
            <w:vAlign w:val="center"/>
          </w:tcPr>
          <w:p>
            <w:pPr>
              <w:spacing w:after="0" w:before="0" w:line="240" w:lineRule="auto"/>
            </w:pPr>
            <w:r>
              <w:rPr>
                <w:color w:val="000000"/>
                <w:sz w:val="18"/>
              </w:rPr>
              <w:t xml:space="preserve">CFO and leadership team</w:t>
            </w:r>
          </w:p>
        </w:tc>
        <w:tc>
          <w:tcPr>
            <w:tcW w:type="dxa" w:w="4374"/>
            <w:vAlign w:val="center"/>
          </w:tcPr>
          <w:p>
            <w:pPr>
              <w:spacing w:after="0" w:before="0" w:line="240" w:lineRule="auto"/>
            </w:pPr>
            <w:r>
              <w:rPr>
                <w:color w:val="000000"/>
                <w:sz w:val="18"/>
              </w:rPr>
              <w:t xml:space="preserve">Test downside and upside cases, capacity limits and affordability. Return unsupported assumptions or funding gaps to owners for revision.</w:t>
            </w:r>
          </w:p>
        </w:tc>
        <w:tc>
          <w:tcPr>
            <w:tcW w:type="dxa" w:w="2200"/>
            <w:vAlign w:val="center"/>
          </w:tcPr>
          <w:p>
            <w:pPr>
              <w:spacing w:after="0" w:before="0" w:line="240" w:lineRule="auto"/>
            </w:pPr>
            <w:r>
              <w:rPr>
                <w:color w:val="000000"/>
                <w:sz w:val="18"/>
              </w:rPr>
              <w:t xml:space="preserve">Excel scenarios</w:t>
            </w:r>
          </w:p>
        </w:tc>
      </w:tr>
      <w:tr>
        <w:trPr>
          <w:cantSplit/>
        </w:trPr>
        <w:tc>
          <w:tcPr>
            <w:tcW w:type="dxa" w:w="1800"/>
            <w:vAlign w:val="center"/>
          </w:tcPr>
          <w:p>
            <w:pPr>
              <w:spacing w:after="0" w:before="0" w:line="240" w:lineRule="auto"/>
            </w:pPr>
            <w:r>
              <w:rPr>
                <w:b/>
                <w:color w:val="000000"/>
                <w:sz w:val="18"/>
              </w:rPr>
              <w:t xml:space="preserve">5  Approve and allocate</w:t>
            </w:r>
          </w:p>
        </w:tc>
        <w:tc>
          <w:tcPr>
            <w:tcW w:type="dxa" w:w="1850"/>
            <w:vAlign w:val="center"/>
          </w:tcPr>
          <w:p>
            <w:pPr>
              <w:spacing w:after="0" w:before="0" w:line="240" w:lineRule="auto"/>
            </w:pPr>
            <w:r>
              <w:rPr>
                <w:color w:val="000000"/>
                <w:sz w:val="18"/>
              </w:rPr>
              <w:t xml:space="preserve">CEO, CFO and board</w:t>
            </w:r>
          </w:p>
        </w:tc>
        <w:tc>
          <w:tcPr>
            <w:tcW w:type="dxa" w:w="4374"/>
            <w:vAlign w:val="center"/>
          </w:tcPr>
          <w:p>
            <w:pPr>
              <w:spacing w:after="0" w:before="0" w:line="240" w:lineRule="auto"/>
            </w:pPr>
            <w:r>
              <w:rPr>
                <w:color w:val="000000"/>
                <w:sz w:val="18"/>
              </w:rPr>
              <w:t xml:space="preserve">Approve the plan under delegated authority. Set budget responsibilities, release authorised allocations and retain the approved baseline for comparison.</w:t>
            </w:r>
          </w:p>
        </w:tc>
        <w:tc>
          <w:tcPr>
            <w:tcW w:type="dxa" w:w="2200"/>
            <w:vAlign w:val="center"/>
          </w:tcPr>
          <w:p>
            <w:pPr>
              <w:spacing w:after="0" w:before="0" w:line="240" w:lineRule="auto"/>
            </w:pPr>
            <w:r>
              <w:rPr>
                <w:color w:val="000000"/>
                <w:sz w:val="18"/>
              </w:rPr>
              <w:t xml:space="preserve">Approved budget saved on SharePoint</w:t>
            </w:r>
          </w:p>
        </w:tc>
      </w:tr>
      <w:tr>
        <w:trPr>
          <w:cantSplit/>
        </w:trPr>
        <w:tc>
          <w:tcPr>
            <w:tcW w:type="dxa" w:w="1800"/>
            <w:vAlign w:val="center"/>
          </w:tcPr>
          <w:p>
            <w:pPr>
              <w:spacing w:after="0" w:before="0" w:line="240" w:lineRule="auto"/>
            </w:pPr>
            <w:r>
              <w:rPr>
                <w:b/>
                <w:color w:val="000000"/>
                <w:sz w:val="18"/>
              </w:rPr>
              <w:t xml:space="preserve">6  Refresh the outlook</w:t>
            </w:r>
          </w:p>
        </w:tc>
        <w:tc>
          <w:tcPr>
            <w:tcW w:type="dxa" w:w="1850"/>
            <w:vAlign w:val="center"/>
          </w:tcPr>
          <w:p>
            <w:pPr>
              <w:spacing w:after="0" w:before="0" w:line="240" w:lineRule="auto"/>
            </w:pPr>
            <w:r>
              <w:rPr>
                <w:color w:val="000000"/>
                <w:sz w:val="18"/>
              </w:rPr>
              <w:t xml:space="preserve">FP&amp;A and budget holders</w:t>
            </w:r>
          </w:p>
        </w:tc>
        <w:tc>
          <w:tcPr>
            <w:tcW w:type="dxa" w:w="4374"/>
            <w:vAlign w:val="center"/>
          </w:tcPr>
          <w:p>
            <w:pPr>
              <w:spacing w:after="0" w:before="0" w:line="240" w:lineRule="auto"/>
            </w:pPr>
            <w:r>
              <w:rPr>
                <w:color w:val="000000"/>
                <w:sz w:val="18"/>
              </w:rPr>
              <w:t xml:space="preserve">Compare actuals with assumptions, update forecasts and escalate decisions. Keep forecast changes separate from the original budget unless a rebaseline is approved.</w:t>
            </w:r>
          </w:p>
        </w:tc>
        <w:tc>
          <w:tcPr>
            <w:tcW w:type="dxa" w:w="2200"/>
            <w:vAlign w:val="center"/>
          </w:tcPr>
          <w:p>
            <w:pPr>
              <w:spacing w:after="0" w:before="0" w:line="240" w:lineRule="auto"/>
            </w:pPr>
            <w:r>
              <w:rPr>
                <w:color w:val="000000"/>
                <w:sz w:val="18"/>
              </w:rPr>
              <w:t xml:space="preserve">Excel forecast versions; Cloud ERP actuals</w:t>
            </w:r>
          </w:p>
        </w:tc>
      </w:tr>
    </w:tbl>
    <w:p>
      <w:pPr>
        <w:spacing w:after="80"/>
      </w:pPr>
      <w:r>
        <w:rPr>
          <w:b/>
          <w:sz w:val="20"/>
        </w:rPr>
        <w:t xml:space="preserve">Controls and success measures: </w:t>
      </w:r>
      <w:r>
        <w:rPr>
          <w:sz w:val="20"/>
        </w:rPr>
        <w:t xml:space="preserve">Use common definitions, version control and documented approvals. Track forecast accuracy, submission timeliness and whether resource decisions remain consistent with the agreed strategy.</w:t>
      </w:r>
    </w:p>
    <w:p>
      <w:pPr>
        <w:pStyle w:val="Title"/>
        <w:pageBreakBefore/>
      </w:pPr>
      <w:r>
        <w:t>CFO office process guide</w:t>
      </w:r>
    </w:p>
    <w:p>
      <w:pPr>
        <w:pStyle w:val="Heading1"/>
      </w:pPr>
      <w:r>
        <w:t>02  Performance management and analysis</w:t>
      </w:r>
    </w:p>
    <w:p>
      <w:pPr>
        <w:spacing w:after="100"/>
      </w:pPr>
      <w:r>
        <w:rPr>
          <w:sz w:val="20"/>
        </w:rPr>
        <w:t xml:space="preserve">Explain how the business is performing, identify the causes of differences from expectations and turn findings into management action. This process connects financial results to operational drivers, including sales, capacity, customer behaviour and service delivery.</w:t>
      </w:r>
    </w:p>
    <w:p>
      <w:pPr>
        <w:spacing w:after="80"/>
      </w:pPr>
      <w:r>
        <w:rPr>
          <w:b/>
          <w:sz w:val="20"/>
        </w:rPr>
        <w:t xml:space="preserve">Ownership and participants: </w:t>
      </w:r>
      <w:r>
        <w:rPr>
          <w:sz w:val="20"/>
        </w:rPr>
        <w:t xml:space="preserve">FP&amp;A Manager leads, with the Management Accountant; the CFO sponsors performance reviews. Budget holders explain variances and own corrective actions.</w:t>
      </w:r>
    </w:p>
    <w:p>
      <w:pPr>
        <w:spacing w:after="80"/>
      </w:pPr>
      <w:r>
        <w:rPr>
          <w:b/>
          <w:sz w:val="20"/>
        </w:rPr>
        <w:t xml:space="preserve">Cadence today: </w:t>
      </w:r>
      <w:r>
        <w:rPr>
          <w:sz w:val="20"/>
        </w:rPr>
        <w:t xml:space="preserve">Management pack issued on working day 10, three working days after the close; weekly KPIs </w:t>
      </w:r>
      <w:r>
        <w:rPr>
          <w:sz w:val="20"/>
          <w:highlight w:val="yellow"/>
        </w:rPr>
        <w:t xml:space="preserve">[yes / no; which]</w:t>
      </w:r>
      <w:r>
        <w:rPr>
          <w:sz w:val="20"/>
        </w:rPr>
        <w:t xml:space="preserve">; quarterly business reviews.</w:t>
      </w:r>
    </w:p>
    <w:p>
      <w:pPr>
        <w:spacing w:after="80"/>
      </w:pPr>
      <w:r>
        <w:rPr>
          <w:b/>
          <w:sz w:val="20"/>
        </w:rPr>
        <w:t xml:space="preserve">Key inputs: </w:t>
      </w:r>
      <w:r>
        <w:rPr>
          <w:sz w:val="20"/>
        </w:rPr>
        <w:t xml:space="preserve">Closed or clearly labelled preliminary actuals; budget and latest forecast; prior-period results; operational KPIs; customer, product and channel data; workforce and capacity data; previous action logs.</w:t>
      </w:r>
    </w:p>
    <w:p>
      <w:pPr>
        <w:spacing w:after="80"/>
      </w:pPr>
      <w:r>
        <w:rPr>
          <w:b/>
          <w:sz w:val="20"/>
        </w:rPr>
        <w:t xml:space="preserve">Key outputs: </w:t>
      </w:r>
      <w:r>
        <w:rPr>
          <w:sz w:val="20"/>
        </w:rPr>
        <w:t xml:space="preserve">Management reporting pack; variance and profitability analysis; updated risks and opportunities; decisions and actions with owners and deadlines; forecast change recommendations; evidence of realised benefits.</w:t>
      </w:r>
    </w:p>
    <w:p>
      <w:pPr>
        <w:spacing w:after="80"/>
      </w:pPr>
      <w:r>
        <w:rPr>
          <w:b/>
          <w:sz w:val="20"/>
        </w:rPr>
        <w:t xml:space="preserve">Dependencies and handoffs: </w:t>
      </w:r>
      <w:r>
        <w:rPr>
          <w:sz w:val="20"/>
        </w:rPr>
        <w:t xml:space="preserve">Relies on accounting (3) for reconciled actuals, planning (1) for comparable baselines and operational systems for consistent KPI definitions. Findings feed forecast updates (1), working-capital actions (6), investment decisions (9) and board reporting (10).</w:t>
      </w:r>
    </w:p>
    <w:p>
      <w:pPr>
        <w:spacing w:after="80"/>
      </w:pPr>
      <w:r>
        <w:rPr>
          <w:b/>
          <w:sz w:val="20"/>
        </w:rPr>
        <w:t xml:space="preserve">Current practice and workarounds: </w:t>
      </w:r>
      <w:r>
        <w:rPr>
          <w:sz w:val="20"/>
        </w:rPr>
        <w:t xml:space="preserve">Owner: FP&amp;A Manager. The pack is built in </w:t>
      </w:r>
      <w:r>
        <w:rPr>
          <w:sz w:val="20"/>
          <w:highlight w:val="yellow"/>
        </w:rPr>
        <w:t xml:space="preserve">[PowerPoint / Power BI]</w:t>
      </w:r>
      <w:r>
        <w:rPr>
          <w:sz w:val="20"/>
        </w:rPr>
        <w:t xml:space="preserve"> from Cloud ERP actuals and the Excel plan; commentary is collected by </w:t>
      </w:r>
      <w:r>
        <w:rPr>
          <w:sz w:val="20"/>
          <w:highlight w:val="yellow"/>
        </w:rPr>
        <w:t xml:space="preserve">[email / SharePoint document]</w:t>
      </w:r>
      <w:r>
        <w:rPr>
          <w:sz w:val="20"/>
        </w:rPr>
        <w:t xml:space="preserve"> and takes about </w:t>
      </w:r>
      <w:r>
        <w:rPr>
          <w:sz w:val="20"/>
          <w:highlight w:val="yellow"/>
        </w:rPr>
        <w:t xml:space="preserve">[__]</w:t>
      </w:r>
      <w:r>
        <w:rPr>
          <w:sz w:val="20"/>
        </w:rPr>
        <w:t xml:space="preserve"> hours per cycle. Commentary is required for variances of more than £10,000 and 10% against budget or forecast (proposed default; adjust to the size of the business). Known pain points: </w:t>
      </w:r>
      <w:r>
        <w:rPr>
          <w:sz w:val="20"/>
          <w:highlight w:val="yellow"/>
        </w:rPr>
        <w:t xml:space="preserve">[e.g. manual pack assembly, late commentary]</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Agree measures</w:t>
            </w:r>
          </w:p>
        </w:tc>
        <w:tc>
          <w:tcPr>
            <w:tcW w:type="dxa" w:w="1850"/>
            <w:vAlign w:val="center"/>
          </w:tcPr>
          <w:p>
            <w:pPr>
              <w:spacing w:after="0" w:before="0" w:line="240" w:lineRule="auto"/>
            </w:pPr>
            <w:r>
              <w:rPr>
                <w:color w:val="000000"/>
                <w:sz w:val="18"/>
              </w:rPr>
              <w:t xml:space="preserve">FP&amp;A and budget holders</w:t>
            </w:r>
          </w:p>
        </w:tc>
        <w:tc>
          <w:tcPr>
            <w:tcW w:type="dxa" w:w="4374"/>
            <w:vAlign w:val="center"/>
          </w:tcPr>
          <w:p>
            <w:pPr>
              <w:spacing w:after="0" w:before="0" w:line="240" w:lineRule="auto"/>
            </w:pPr>
            <w:r>
              <w:rPr>
                <w:color w:val="000000"/>
                <w:sz w:val="18"/>
              </w:rPr>
              <w:t xml:space="preserve">Set KPIs, definitions, targets, reporting grain and review thresholds. Assign an owner and trusted source to each measure.</w:t>
            </w:r>
          </w:p>
        </w:tc>
        <w:tc>
          <w:tcPr>
            <w:tcW w:type="dxa" w:w="2200"/>
            <w:vAlign w:val="center"/>
          </w:tcPr>
          <w:p>
            <w:pPr>
              <w:spacing w:after="0" w:before="0" w:line="240" w:lineRule="auto"/>
            </w:pPr>
            <w:r>
              <w:rPr>
                <w:color w:val="000000"/>
                <w:sz w:val="18"/>
                <w:highlight w:val="yellow"/>
              </w:rPr>
              <w:t xml:space="preserve">[KPI dictionary location]</w:t>
            </w:r>
          </w:p>
        </w:tc>
      </w:tr>
      <w:tr>
        <w:trPr>
          <w:cantSplit/>
        </w:trPr>
        <w:tc>
          <w:tcPr>
            <w:tcW w:type="dxa" w:w="1800"/>
            <w:vAlign w:val="center"/>
          </w:tcPr>
          <w:p>
            <w:pPr>
              <w:spacing w:after="0" w:before="0" w:line="240" w:lineRule="auto"/>
            </w:pPr>
            <w:r>
              <w:rPr>
                <w:b/>
                <w:color w:val="000000"/>
                <w:sz w:val="18"/>
              </w:rPr>
              <w:t xml:space="preserve">2  Collect and validate</w:t>
            </w:r>
          </w:p>
        </w:tc>
        <w:tc>
          <w:tcPr>
            <w:tcW w:type="dxa" w:w="1850"/>
            <w:vAlign w:val="center"/>
          </w:tcPr>
          <w:p>
            <w:pPr>
              <w:spacing w:after="0" w:before="0" w:line="240" w:lineRule="auto"/>
            </w:pPr>
            <w:r>
              <w:rPr>
                <w:color w:val="000000"/>
                <w:sz w:val="18"/>
              </w:rPr>
              <w:t xml:space="preserve">Management Accountant</w:t>
            </w:r>
          </w:p>
        </w:tc>
        <w:tc>
          <w:tcPr>
            <w:tcW w:type="dxa" w:w="4374"/>
            <w:vAlign w:val="center"/>
          </w:tcPr>
          <w:p>
            <w:pPr>
              <w:spacing w:after="0" w:before="0" w:line="240" w:lineRule="auto"/>
            </w:pPr>
            <w:r>
              <w:rPr>
                <w:color w:val="000000"/>
                <w:sz w:val="18"/>
              </w:rPr>
              <w:t xml:space="preserve">Load financial and operational data. Reconcile totals to the ledger, check completeness and align reporting periods, organisational scope and currency treatment.</w:t>
            </w:r>
          </w:p>
        </w:tc>
        <w:tc>
          <w:tcPr>
            <w:tcW w:type="dxa" w:w="2200"/>
            <w:vAlign w:val="center"/>
          </w:tcPr>
          <w:p>
            <w:pPr>
              <w:spacing w:after="0" w:before="0" w:line="240" w:lineRule="auto"/>
            </w:pPr>
            <w:r>
              <w:rPr>
                <w:color w:val="000000"/>
                <w:sz w:val="18"/>
              </w:rPr>
              <w:t xml:space="preserve">Cloud ERP; Power BI; operational sources </w:t>
            </w:r>
            <w:r>
              <w:rPr>
                <w:color w:val="000000"/>
                <w:sz w:val="18"/>
                <w:highlight w:val="yellow"/>
              </w:rPr>
              <w:t xml:space="preserve">[list]</w:t>
            </w:r>
          </w:p>
        </w:tc>
      </w:tr>
      <w:tr>
        <w:trPr>
          <w:cantSplit/>
        </w:trPr>
        <w:tc>
          <w:tcPr>
            <w:tcW w:type="dxa" w:w="1800"/>
            <w:vAlign w:val="center"/>
          </w:tcPr>
          <w:p>
            <w:pPr>
              <w:spacing w:after="0" w:before="0" w:line="240" w:lineRule="auto"/>
            </w:pPr>
            <w:r>
              <w:rPr>
                <w:b/>
                <w:color w:val="000000"/>
                <w:sz w:val="18"/>
              </w:rPr>
              <w:t xml:space="preserve">3  Explain differences</w:t>
            </w:r>
          </w:p>
        </w:tc>
        <w:tc>
          <w:tcPr>
            <w:tcW w:type="dxa" w:w="1850"/>
            <w:vAlign w:val="center"/>
          </w:tcPr>
          <w:p>
            <w:pPr>
              <w:spacing w:after="0" w:before="0" w:line="240" w:lineRule="auto"/>
            </w:pPr>
            <w:r>
              <w:rPr>
                <w:color w:val="000000"/>
                <w:sz w:val="18"/>
              </w:rPr>
              <w:t xml:space="preserve">FP&amp;A Manager</w:t>
            </w:r>
          </w:p>
        </w:tc>
        <w:tc>
          <w:tcPr>
            <w:tcW w:type="dxa" w:w="4374"/>
            <w:vAlign w:val="center"/>
          </w:tcPr>
          <w:p>
            <w:pPr>
              <w:spacing w:after="0" w:before="0" w:line="240" w:lineRule="auto"/>
            </w:pPr>
            <w:r>
              <w:rPr>
                <w:color w:val="000000"/>
                <w:sz w:val="18"/>
              </w:rPr>
              <w:t xml:space="preserve">Compare results with budget, forecast and prior periods. Separate price, volume, mix, timing and other drivers without double counting effects.</w:t>
            </w:r>
          </w:p>
        </w:tc>
        <w:tc>
          <w:tcPr>
            <w:tcW w:type="dxa" w:w="2200"/>
            <w:vAlign w:val="center"/>
          </w:tcPr>
          <w:p>
            <w:pPr>
              <w:spacing w:after="0" w:before="0" w:line="240" w:lineRule="auto"/>
            </w:pPr>
            <w:r>
              <w:rPr>
                <w:color w:val="000000"/>
                <w:sz w:val="18"/>
              </w:rPr>
              <w:t xml:space="preserve">Power BI and Excel</w:t>
            </w:r>
          </w:p>
        </w:tc>
      </w:tr>
      <w:tr>
        <w:trPr>
          <w:cantSplit/>
        </w:trPr>
        <w:tc>
          <w:tcPr>
            <w:tcW w:type="dxa" w:w="1800"/>
            <w:vAlign w:val="center"/>
          </w:tcPr>
          <w:p>
            <w:pPr>
              <w:spacing w:after="0" w:before="0" w:line="240" w:lineRule="auto"/>
            </w:pPr>
            <w:r>
              <w:rPr>
                <w:b/>
                <w:color w:val="000000"/>
                <w:sz w:val="18"/>
              </w:rPr>
              <w:t xml:space="preserve">4  Assess implications</w:t>
            </w:r>
          </w:p>
        </w:tc>
        <w:tc>
          <w:tcPr>
            <w:tcW w:type="dxa" w:w="1850"/>
            <w:vAlign w:val="center"/>
          </w:tcPr>
          <w:p>
            <w:pPr>
              <w:spacing w:after="0" w:before="0" w:line="240" w:lineRule="auto"/>
            </w:pPr>
            <w:r>
              <w:rPr>
                <w:color w:val="000000"/>
                <w:sz w:val="18"/>
              </w:rPr>
              <w:t xml:space="preserve">FP&amp;A and budget holders</w:t>
            </w:r>
          </w:p>
        </w:tc>
        <w:tc>
          <w:tcPr>
            <w:tcW w:type="dxa" w:w="4374"/>
            <w:vAlign w:val="center"/>
          </w:tcPr>
          <w:p>
            <w:pPr>
              <w:spacing w:after="0" w:before="0" w:line="240" w:lineRule="auto"/>
            </w:pPr>
            <w:r>
              <w:rPr>
                <w:color w:val="000000"/>
                <w:sz w:val="18"/>
              </w:rPr>
              <w:t xml:space="preserve">Test explanations with business owners. Assess profitability, cash impact and whether changes are temporary or structural; flag uncertain conclusions.</w:t>
            </w:r>
          </w:p>
        </w:tc>
        <w:tc>
          <w:tcPr>
            <w:tcW w:type="dxa" w:w="2200"/>
            <w:vAlign w:val="center"/>
          </w:tcPr>
          <w:p>
            <w:pPr>
              <w:spacing w:after="0" w:before="0" w:line="240" w:lineRule="auto"/>
            </w:pPr>
            <w:r>
              <w:rPr>
                <w:color w:val="000000"/>
                <w:sz w:val="18"/>
              </w:rPr>
              <w:t xml:space="preserve">Email and meetings; action log on SharePoint</w:t>
            </w:r>
          </w:p>
        </w:tc>
      </w:tr>
      <w:tr>
        <w:trPr>
          <w:cantSplit/>
        </w:trPr>
        <w:tc>
          <w:tcPr>
            <w:tcW w:type="dxa" w:w="1800"/>
            <w:vAlign w:val="center"/>
          </w:tcPr>
          <w:p>
            <w:pPr>
              <w:spacing w:after="0" w:before="0" w:line="240" w:lineRule="auto"/>
            </w:pPr>
            <w:r>
              <w:rPr>
                <w:b/>
                <w:color w:val="000000"/>
                <w:sz w:val="18"/>
              </w:rPr>
              <w:t xml:space="preserve">5  Decide actions</w:t>
            </w:r>
          </w:p>
        </w:tc>
        <w:tc>
          <w:tcPr>
            <w:tcW w:type="dxa" w:w="1850"/>
            <w:vAlign w:val="center"/>
          </w:tcPr>
          <w:p>
            <w:pPr>
              <w:spacing w:after="0" w:before="0" w:line="240" w:lineRule="auto"/>
            </w:pPr>
            <w:r>
              <w:rPr>
                <w:color w:val="000000"/>
                <w:sz w:val="18"/>
              </w:rPr>
              <w:t xml:space="preserve">CFO and leadership team</w:t>
            </w:r>
          </w:p>
        </w:tc>
        <w:tc>
          <w:tcPr>
            <w:tcW w:type="dxa" w:w="4374"/>
            <w:vAlign w:val="center"/>
          </w:tcPr>
          <w:p>
            <w:pPr>
              <w:spacing w:after="0" w:before="0" w:line="240" w:lineRule="auto"/>
            </w:pPr>
            <w:r>
              <w:rPr>
                <w:color w:val="000000"/>
                <w:sz w:val="18"/>
              </w:rPr>
              <w:t xml:space="preserve">Review exceptions and options. Agree corrective action, resource changes or forecast updates, with accountable owners, deadlines and expected outcomes.</w:t>
            </w:r>
          </w:p>
        </w:tc>
        <w:tc>
          <w:tcPr>
            <w:tcW w:type="dxa" w:w="2200"/>
            <w:vAlign w:val="center"/>
          </w:tcPr>
          <w:p>
            <w:pPr>
              <w:spacing w:after="0" w:before="0" w:line="240" w:lineRule="auto"/>
            </w:pPr>
            <w:r>
              <w:rPr>
                <w:color w:val="000000"/>
                <w:sz w:val="18"/>
              </w:rPr>
              <w:t xml:space="preserve">Management meeting; action log on SharePoint</w:t>
            </w:r>
          </w:p>
        </w:tc>
      </w:tr>
      <w:tr>
        <w:trPr>
          <w:cantSplit/>
        </w:trPr>
        <w:tc>
          <w:tcPr>
            <w:tcW w:type="dxa" w:w="1800"/>
            <w:vAlign w:val="center"/>
          </w:tcPr>
          <w:p>
            <w:pPr>
              <w:spacing w:after="0" w:before="0" w:line="240" w:lineRule="auto"/>
            </w:pPr>
            <w:r>
              <w:rPr>
                <w:b/>
                <w:color w:val="000000"/>
                <w:sz w:val="18"/>
              </w:rPr>
              <w:t xml:space="preserve">6  Follow through</w:t>
            </w:r>
          </w:p>
        </w:tc>
        <w:tc>
          <w:tcPr>
            <w:tcW w:type="dxa" w:w="1850"/>
            <w:vAlign w:val="center"/>
          </w:tcPr>
          <w:p>
            <w:pPr>
              <w:spacing w:after="0" w:before="0" w:line="240" w:lineRule="auto"/>
            </w:pPr>
            <w:r>
              <w:rPr>
                <w:color w:val="000000"/>
                <w:sz w:val="18"/>
              </w:rPr>
              <w:t xml:space="preserve">Budget holders and FP&amp;A</w:t>
            </w:r>
          </w:p>
        </w:tc>
        <w:tc>
          <w:tcPr>
            <w:tcW w:type="dxa" w:w="4374"/>
            <w:vAlign w:val="center"/>
          </w:tcPr>
          <w:p>
            <w:pPr>
              <w:spacing w:after="0" w:before="0" w:line="240" w:lineRule="auto"/>
            </w:pPr>
            <w:r>
              <w:rPr>
                <w:color w:val="000000"/>
                <w:sz w:val="18"/>
              </w:rPr>
              <w:t xml:space="preserve">Track delivery and validate benefits at the next review. Escalate missed actions and revisit explanations if the expected improvement does not occur.</w:t>
            </w:r>
          </w:p>
        </w:tc>
        <w:tc>
          <w:tcPr>
            <w:tcW w:type="dxa" w:w="2200"/>
            <w:vAlign w:val="center"/>
          </w:tcPr>
          <w:p>
            <w:pPr>
              <w:spacing w:after="0" w:before="0" w:line="240" w:lineRule="auto"/>
            </w:pPr>
            <w:r>
              <w:rPr>
                <w:color w:val="000000"/>
                <w:sz w:val="18"/>
              </w:rPr>
              <w:t xml:space="preserve">Action log on SharePoint</w:t>
            </w:r>
          </w:p>
        </w:tc>
      </w:tr>
    </w:tbl>
    <w:p>
      <w:pPr>
        <w:spacing w:after="80"/>
      </w:pPr>
      <w:r>
        <w:rPr>
          <w:b/>
          <w:sz w:val="20"/>
        </w:rPr>
        <w:t xml:space="preserve">Controls and success measures: </w:t>
      </w:r>
      <w:r>
        <w:rPr>
          <w:sz w:val="20"/>
        </w:rPr>
        <w:t xml:space="preserve">Use one approved metric dictionary and traceable calculations. Separate observed facts from hypotheses. Track reporting timeliness, overdue actions and whether decisions deliver the expected financial or operational result.</w:t>
      </w:r>
    </w:p>
    <w:p>
      <w:pPr>
        <w:pStyle w:val="Title"/>
        <w:pageBreakBefore/>
      </w:pPr>
      <w:r>
        <w:t>CFO office process guide</w:t>
      </w:r>
    </w:p>
    <w:p>
      <w:pPr>
        <w:pStyle w:val="Heading1"/>
      </w:pPr>
      <w:r>
        <w:t>03  Accounting and financial reporting</w:t>
      </w:r>
    </w:p>
    <w:p>
      <w:pPr>
        <w:spacing w:after="120"/>
      </w:pPr>
      <w:r>
        <w:rPr>
          <w:b/>
        </w:rPr>
        <w:t>Record to report</w:t>
      </w:r>
    </w:p>
    <w:p>
      <w:pPr>
        <w:spacing w:after="100"/>
      </w:pPr>
      <w:r>
        <w:rPr>
          <w:sz w:val="20"/>
        </w:rPr>
        <w:t xml:space="preserve">Create a complete, accurate and supportable financial record, then convert it into financial statements. The process covers transaction accounting, period-end close, consolidation and reporting, with evidence that balances and significant judgements have been reviewed.</w:t>
      </w:r>
    </w:p>
    <w:p>
      <w:pPr>
        <w:spacing w:after="80"/>
      </w:pPr>
      <w:r>
        <w:rPr>
          <w:b/>
          <w:sz w:val="20"/>
        </w:rPr>
        <w:t xml:space="preserve">Ownership and participants: </w:t>
      </w:r>
      <w:r>
        <w:rPr>
          <w:sz w:val="20"/>
        </w:rPr>
        <w:t xml:space="preserve">Financial Controller accountable; the Finance Manager runs the close day to day and the accountants prepare journals and reconciliations. The CFO reviews results; budget holders support estimates. External auditors provide independent assurance at year-end.</w:t>
      </w:r>
    </w:p>
    <w:p>
      <w:pPr>
        <w:spacing w:after="80"/>
      </w:pPr>
      <w:r>
        <w:rPr>
          <w:b/>
          <w:sz w:val="20"/>
        </w:rPr>
        <w:t xml:space="preserve">Cadence today: </w:t>
      </w:r>
      <w:r>
        <w:rPr>
          <w:sz w:val="20"/>
        </w:rPr>
        <w:t xml:space="preserve">Daily accounting; month-end close completes on working day 7; quarter and year-end follow the reporting calendar held on SharePoint.</w:t>
      </w:r>
    </w:p>
    <w:p>
      <w:pPr>
        <w:spacing w:after="80"/>
      </w:pPr>
      <w:r>
        <w:rPr>
          <w:b/>
          <w:sz w:val="20"/>
        </w:rPr>
        <w:t xml:space="preserve">Key inputs: </w:t>
      </w:r>
      <w:r>
        <w:rPr>
          <w:sz w:val="20"/>
        </w:rPr>
        <w:t xml:space="preserve">Sales and purchasing subledgers; bank statements; payroll from HR; inventory and fixed-asset records; contracts; tax calculations; approved journals, estimates and accounting policies.</w:t>
      </w:r>
    </w:p>
    <w:p>
      <w:pPr>
        <w:spacing w:after="80"/>
      </w:pPr>
      <w:r>
        <w:rPr>
          <w:b/>
          <w:sz w:val="20"/>
        </w:rPr>
        <w:t xml:space="preserve">Key outputs: </w:t>
      </w:r>
      <w:r>
        <w:rPr>
          <w:sz w:val="20"/>
        </w:rPr>
        <w:t xml:space="preserve">Closed trial balances; reconciled balance sheets; consolidation entries; financial statements; disclosure schedules; management actuals; audit evidence and a log of unresolved issues.</w:t>
      </w:r>
    </w:p>
    <w:p>
      <w:pPr>
        <w:spacing w:after="80"/>
      </w:pPr>
      <w:r>
        <w:rPr>
          <w:b/>
          <w:sz w:val="20"/>
        </w:rPr>
        <w:t xml:space="preserve">Dependencies and handoffs: </w:t>
      </w:r>
      <w:r>
        <w:rPr>
          <w:sz w:val="20"/>
        </w:rPr>
        <w:t xml:space="preserve">Requires timely transaction cut-offs from collections (4), purchasing (5), treasury (6), payroll and operations, plus tax estimates (7). Provides the actuals used by planning (1), performance management (2), tax (7) and stakeholder reporting (10).</w:t>
      </w:r>
    </w:p>
    <w:p>
      <w:pPr>
        <w:spacing w:after="80"/>
      </w:pPr>
      <w:r>
        <w:rPr>
          <w:b/>
          <w:sz w:val="20"/>
        </w:rPr>
        <w:t xml:space="preserve">Current practice and workarounds: </w:t>
      </w:r>
      <w:r>
        <w:rPr>
          <w:sz w:val="20"/>
        </w:rPr>
        <w:t xml:space="preserve">Owner: Financial Controller, with the Finance Manager running the close. One UK legal entity on one Cloud ERP ledger, reporting in GBP with no foreign-currency transactions. The ERP consolidates </w:t>
      </w:r>
      <w:r>
        <w:rPr>
          <w:sz w:val="20"/>
          <w:highlight w:val="yellow"/>
        </w:rPr>
        <w:t xml:space="preserve">[divisions / branches / reporting to a parent: confirm]</w:t>
      </w:r>
      <w:r>
        <w:rPr>
          <w:sz w:val="20"/>
        </w:rPr>
        <w:t xml:space="preserve">. About </w:t>
      </w:r>
      <w:r>
        <w:rPr>
          <w:sz w:val="20"/>
          <w:highlight w:val="yellow"/>
        </w:rPr>
        <w:t xml:space="preserve">[__]</w:t>
      </w:r>
      <w:r>
        <w:rPr>
          <w:sz w:val="20"/>
        </w:rPr>
        <w:t xml:space="preserve"> balance-sheet reconciliations a month, all prepared in Excel and held on SharePoint. Manual journals a month: </w:t>
      </w:r>
      <w:r>
        <w:rPr>
          <w:sz w:val="20"/>
          <w:highlight w:val="yellow"/>
        </w:rPr>
        <w:t xml:space="preserve">[__]</w:t>
      </w:r>
      <w:r>
        <w:rPr>
          <w:sz w:val="20"/>
        </w:rPr>
        <w:t xml:space="preserve">. There is no close tool; the close is tracked on a spreadsheet checklist. Known pain points: </w:t>
      </w:r>
      <w:r>
        <w:rPr>
          <w:sz w:val="20"/>
          <w:highlight w:val="yellow"/>
        </w:rPr>
        <w:t xml:space="preserve">[e.g. late accruals, reconciliation backlog]</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Prepare the close</w:t>
            </w:r>
          </w:p>
        </w:tc>
        <w:tc>
          <w:tcPr>
            <w:tcW w:type="dxa" w:w="1850"/>
            <w:vAlign w:val="center"/>
          </w:tcPr>
          <w:p>
            <w:pPr>
              <w:spacing w:after="0" w:before="0" w:line="240" w:lineRule="auto"/>
            </w:pPr>
            <w:r>
              <w:rPr>
                <w:color w:val="000000"/>
                <w:sz w:val="18"/>
              </w:rPr>
              <w:t xml:space="preserve">Finance Manager</w:t>
            </w:r>
          </w:p>
        </w:tc>
        <w:tc>
          <w:tcPr>
            <w:tcW w:type="dxa" w:w="4374"/>
            <w:vAlign w:val="center"/>
          </w:tcPr>
          <w:p>
            <w:pPr>
              <w:spacing w:after="0" w:before="0" w:line="240" w:lineRule="auto"/>
            </w:pPr>
            <w:r>
              <w:rPr>
                <w:color w:val="000000"/>
                <w:sz w:val="18"/>
              </w:rPr>
              <w:t xml:space="preserve">Issue the calendar, responsibilities and cut-off instructions. Confirm interfaces, opening balances and required schedules; resolve known data issues early.</w:t>
            </w:r>
          </w:p>
        </w:tc>
        <w:tc>
          <w:tcPr>
            <w:tcW w:type="dxa" w:w="2200"/>
            <w:vAlign w:val="center"/>
          </w:tcPr>
          <w:p>
            <w:pPr>
              <w:spacing w:after="0" w:before="0" w:line="240" w:lineRule="auto"/>
            </w:pPr>
            <w:r>
              <w:rPr>
                <w:color w:val="000000"/>
                <w:sz w:val="18"/>
              </w:rPr>
              <w:t xml:space="preserve">Close checklist spreadsheet</w:t>
            </w:r>
          </w:p>
        </w:tc>
      </w:tr>
      <w:tr>
        <w:trPr>
          <w:cantSplit/>
        </w:trPr>
        <w:tc>
          <w:tcPr>
            <w:tcW w:type="dxa" w:w="1800"/>
            <w:vAlign w:val="center"/>
          </w:tcPr>
          <w:p>
            <w:pPr>
              <w:spacing w:after="0" w:before="0" w:line="240" w:lineRule="auto"/>
            </w:pPr>
            <w:r>
              <w:rPr>
                <w:b/>
                <w:color w:val="000000"/>
                <w:sz w:val="18"/>
              </w:rPr>
              <w:t xml:space="preserve">2  Complete accounting</w:t>
            </w:r>
          </w:p>
        </w:tc>
        <w:tc>
          <w:tcPr>
            <w:tcW w:type="dxa" w:w="1850"/>
            <w:vAlign w:val="center"/>
          </w:tcPr>
          <w:p>
            <w:pPr>
              <w:spacing w:after="0" w:before="0" w:line="240" w:lineRule="auto"/>
            </w:pPr>
            <w:r>
              <w:rPr>
                <w:color w:val="000000"/>
                <w:sz w:val="18"/>
              </w:rPr>
              <w:t xml:space="preserve">Accountants</w:t>
            </w:r>
          </w:p>
        </w:tc>
        <w:tc>
          <w:tcPr>
            <w:tcW w:type="dxa" w:w="4374"/>
            <w:vAlign w:val="center"/>
          </w:tcPr>
          <w:p>
            <w:pPr>
              <w:spacing w:after="0" w:before="0" w:line="240" w:lineRule="auto"/>
            </w:pPr>
            <w:r>
              <w:rPr>
                <w:color w:val="000000"/>
                <w:sz w:val="18"/>
              </w:rPr>
              <w:t xml:space="preserve">Post transactions and approved adjustments, including accruals, depreciation, provisions and revenue recognition. Obtain evidence for estimates and investigate missing entries.</w:t>
            </w:r>
          </w:p>
        </w:tc>
        <w:tc>
          <w:tcPr>
            <w:tcW w:type="dxa" w:w="2200"/>
            <w:vAlign w:val="center"/>
          </w:tcPr>
          <w:p>
            <w:pPr>
              <w:spacing w:after="0" w:before="0" w:line="240" w:lineRule="auto"/>
            </w:pPr>
            <w:r>
              <w:rPr>
                <w:color w:val="000000"/>
                <w:sz w:val="18"/>
              </w:rPr>
              <w:t xml:space="preserve">Cloud ERP; journal support in Excel</w:t>
            </w:r>
          </w:p>
        </w:tc>
      </w:tr>
      <w:tr>
        <w:trPr>
          <w:cantSplit/>
        </w:trPr>
        <w:tc>
          <w:tcPr>
            <w:tcW w:type="dxa" w:w="1800"/>
            <w:vAlign w:val="center"/>
          </w:tcPr>
          <w:p>
            <w:pPr>
              <w:spacing w:after="0" w:before="0" w:line="240" w:lineRule="auto"/>
            </w:pPr>
            <w:r>
              <w:rPr>
                <w:b/>
                <w:color w:val="000000"/>
                <w:sz w:val="18"/>
              </w:rPr>
              <w:t xml:space="preserve">3  Reconcile and review</w:t>
            </w:r>
          </w:p>
        </w:tc>
        <w:tc>
          <w:tcPr>
            <w:tcW w:type="dxa" w:w="1850"/>
            <w:vAlign w:val="center"/>
          </w:tcPr>
          <w:p>
            <w:pPr>
              <w:spacing w:after="0" w:before="0" w:line="240" w:lineRule="auto"/>
            </w:pPr>
            <w:r>
              <w:rPr>
                <w:color w:val="000000"/>
                <w:sz w:val="18"/>
              </w:rPr>
              <w:t xml:space="preserve">Accountants; Finance Manager reviews</w:t>
            </w:r>
          </w:p>
        </w:tc>
        <w:tc>
          <w:tcPr>
            <w:tcW w:type="dxa" w:w="4374"/>
            <w:vAlign w:val="center"/>
          </w:tcPr>
          <w:p>
            <w:pPr>
              <w:spacing w:after="0" w:before="0" w:line="240" w:lineRule="auto"/>
            </w:pPr>
            <w:r>
              <w:rPr>
                <w:color w:val="000000"/>
                <w:sz w:val="18"/>
              </w:rPr>
              <w:t xml:space="preserve">Reconcile subledgers, bank accounts and balance-sheet accounts. Investigate differences, correct errors and obtain review sign-off on material balances and journals.</w:t>
            </w:r>
          </w:p>
        </w:tc>
        <w:tc>
          <w:tcPr>
            <w:tcW w:type="dxa" w:w="2200"/>
            <w:vAlign w:val="center"/>
          </w:tcPr>
          <w:p>
            <w:pPr>
              <w:spacing w:after="0" w:before="0" w:line="240" w:lineRule="auto"/>
            </w:pPr>
            <w:r>
              <w:rPr>
                <w:color w:val="000000"/>
                <w:sz w:val="18"/>
              </w:rPr>
              <w:t xml:space="preserve">Excel reconciliations on SharePoint</w:t>
            </w:r>
          </w:p>
        </w:tc>
      </w:tr>
      <w:tr>
        <w:trPr>
          <w:cantSplit/>
        </w:trPr>
        <w:tc>
          <w:tcPr>
            <w:tcW w:type="dxa" w:w="1800"/>
            <w:vAlign w:val="center"/>
          </w:tcPr>
          <w:p>
            <w:pPr>
              <w:spacing w:after="0" w:before="0" w:line="240" w:lineRule="auto"/>
            </w:pPr>
            <w:r>
              <w:rPr>
                <w:b/>
                <w:color w:val="000000"/>
                <w:sz w:val="18"/>
              </w:rPr>
              <w:t xml:space="preserve">4  Consolidate</w:t>
            </w:r>
          </w:p>
        </w:tc>
        <w:tc>
          <w:tcPr>
            <w:tcW w:type="dxa" w:w="1850"/>
            <w:vAlign w:val="center"/>
          </w:tcPr>
          <w:p>
            <w:pPr>
              <w:spacing w:after="0" w:before="0" w:line="240" w:lineRule="auto"/>
            </w:pPr>
            <w:r>
              <w:rPr>
                <w:color w:val="000000"/>
                <w:sz w:val="18"/>
              </w:rPr>
              <w:t xml:space="preserve">Accountants and Finance Manager</w:t>
            </w:r>
          </w:p>
        </w:tc>
        <w:tc>
          <w:tcPr>
            <w:tcW w:type="dxa" w:w="4374"/>
            <w:vAlign w:val="center"/>
          </w:tcPr>
          <w:p>
            <w:pPr>
              <w:spacing w:after="0" w:before="0" w:line="240" w:lineRule="auto"/>
            </w:pPr>
            <w:r>
              <w:rPr>
                <w:color w:val="000000"/>
                <w:sz w:val="18"/>
              </w:rPr>
              <w:t xml:space="preserve">Run the consolidation in the Cloud ERP </w:t>
            </w:r>
            <w:r>
              <w:rPr>
                <w:color w:val="000000"/>
                <w:sz w:val="18"/>
                <w:highlight w:val="yellow"/>
              </w:rPr>
              <w:t xml:space="preserve">[confirm scope]</w:t>
            </w:r>
            <w:r>
              <w:rPr>
                <w:color w:val="000000"/>
                <w:sz w:val="18"/>
              </w:rPr>
              <w:t xml:space="preserve"> and check the consolidated results agree to the ledger. Investigate and correct any differences.</w:t>
            </w:r>
          </w:p>
        </w:tc>
        <w:tc>
          <w:tcPr>
            <w:tcW w:type="dxa" w:w="2200"/>
            <w:vAlign w:val="center"/>
          </w:tcPr>
          <w:p>
            <w:pPr>
              <w:spacing w:after="0" w:before="0" w:line="240" w:lineRule="auto"/>
            </w:pPr>
            <w:r>
              <w:rPr>
                <w:color w:val="000000"/>
                <w:sz w:val="18"/>
              </w:rPr>
              <w:t xml:space="preserve">Cloud ERP </w:t>
            </w:r>
            <w:r>
              <w:rPr>
                <w:color w:val="000000"/>
                <w:sz w:val="18"/>
                <w:highlight w:val="yellow"/>
              </w:rPr>
              <w:t xml:space="preserve">[confirm what is consolidated]</w:t>
            </w:r>
          </w:p>
        </w:tc>
      </w:tr>
      <w:tr>
        <w:trPr>
          <w:cantSplit/>
        </w:trPr>
        <w:tc>
          <w:tcPr>
            <w:tcW w:type="dxa" w:w="1800"/>
            <w:vAlign w:val="center"/>
          </w:tcPr>
          <w:p>
            <w:pPr>
              <w:spacing w:after="0" w:before="0" w:line="240" w:lineRule="auto"/>
            </w:pPr>
            <w:r>
              <w:rPr>
                <w:b/>
                <w:color w:val="000000"/>
                <w:sz w:val="18"/>
              </w:rPr>
              <w:t xml:space="preserve">5  Prepare statements</w:t>
            </w:r>
          </w:p>
        </w:tc>
        <w:tc>
          <w:tcPr>
            <w:tcW w:type="dxa" w:w="1850"/>
            <w:vAlign w:val="center"/>
          </w:tcPr>
          <w:p>
            <w:pPr>
              <w:spacing w:after="0" w:before="0" w:line="240" w:lineRule="auto"/>
            </w:pPr>
            <w:r>
              <w:rPr>
                <w:color w:val="000000"/>
                <w:sz w:val="18"/>
              </w:rPr>
              <w:t xml:space="preserve">Accountants and Financial Controller</w:t>
            </w:r>
          </w:p>
        </w:tc>
        <w:tc>
          <w:tcPr>
            <w:tcW w:type="dxa" w:w="4374"/>
            <w:vAlign w:val="center"/>
          </w:tcPr>
          <w:p>
            <w:pPr>
              <w:spacing w:after="0" w:before="0" w:line="240" w:lineRule="auto"/>
            </w:pPr>
            <w:r>
              <w:rPr>
                <w:color w:val="000000"/>
                <w:sz w:val="18"/>
              </w:rPr>
              <w:t xml:space="preserve">Produce statements and disclosures, assess significant movements and check internal consistency. Coordinate audit queries and incorporate approved corrections where applicable.</w:t>
            </w:r>
          </w:p>
        </w:tc>
        <w:tc>
          <w:tcPr>
            <w:tcW w:type="dxa" w:w="2200"/>
            <w:vAlign w:val="center"/>
          </w:tcPr>
          <w:p>
            <w:pPr>
              <w:spacing w:after="0" w:before="0" w:line="240" w:lineRule="auto"/>
            </w:pPr>
            <w:r>
              <w:rPr>
                <w:color w:val="000000"/>
                <w:sz w:val="18"/>
                <w:highlight w:val="yellow"/>
              </w:rPr>
              <w:t xml:space="preserve">[Word and Excel]</w:t>
            </w:r>
          </w:p>
        </w:tc>
      </w:tr>
      <w:tr>
        <w:trPr>
          <w:cantSplit/>
        </w:trPr>
        <w:tc>
          <w:tcPr>
            <w:tcW w:type="dxa" w:w="1800"/>
            <w:vAlign w:val="center"/>
          </w:tcPr>
          <w:p>
            <w:pPr>
              <w:spacing w:after="0" w:before="0" w:line="240" w:lineRule="auto"/>
            </w:pPr>
            <w:r>
              <w:rPr>
                <w:b/>
                <w:color w:val="000000"/>
                <w:sz w:val="18"/>
              </w:rPr>
              <w:t xml:space="preserve">6  Approve and release</w:t>
            </w:r>
          </w:p>
        </w:tc>
        <w:tc>
          <w:tcPr>
            <w:tcW w:type="dxa" w:w="1850"/>
            <w:vAlign w:val="center"/>
          </w:tcPr>
          <w:p>
            <w:pPr>
              <w:spacing w:after="0" w:before="0" w:line="240" w:lineRule="auto"/>
            </w:pPr>
            <w:r>
              <w:rPr>
                <w:color w:val="000000"/>
                <w:sz w:val="18"/>
              </w:rPr>
              <w:t xml:space="preserve">Financial Controller and CFO</w:t>
            </w:r>
          </w:p>
        </w:tc>
        <w:tc>
          <w:tcPr>
            <w:tcW w:type="dxa" w:w="4374"/>
            <w:vAlign w:val="center"/>
          </w:tcPr>
          <w:p>
            <w:pPr>
              <w:spacing w:after="0" w:before="0" w:line="240" w:lineRule="auto"/>
            </w:pPr>
            <w:r>
              <w:rPr>
                <w:color w:val="000000"/>
                <w:sz w:val="18"/>
              </w:rPr>
              <w:t xml:space="preserve">Approve the reporting package, lock the period and publish controlled actuals. Track unresolved items; reopen periods only through an authorised process.</w:t>
            </w:r>
          </w:p>
        </w:tc>
        <w:tc>
          <w:tcPr>
            <w:tcW w:type="dxa" w:w="2200"/>
            <w:vAlign w:val="center"/>
          </w:tcPr>
          <w:p>
            <w:pPr>
              <w:spacing w:after="0" w:before="0" w:line="240" w:lineRule="auto"/>
            </w:pPr>
            <w:r>
              <w:rPr>
                <w:color w:val="000000"/>
                <w:sz w:val="18"/>
              </w:rPr>
              <w:t xml:space="preserve">Cloud ERP period lock; sign-off </w:t>
            </w:r>
            <w:r>
              <w:rPr>
                <w:color w:val="000000"/>
                <w:sz w:val="18"/>
                <w:highlight w:val="yellow"/>
              </w:rPr>
              <w:t xml:space="preserve">[location]</w:t>
            </w:r>
          </w:p>
        </w:tc>
      </w:tr>
    </w:tbl>
    <w:p>
      <w:pPr>
        <w:spacing w:after="80"/>
      </w:pPr>
      <w:r>
        <w:rPr>
          <w:b/>
          <w:sz w:val="20"/>
        </w:rPr>
        <w:t xml:space="preserve">Controls and success measures: </w:t>
      </w:r>
      <w:r>
        <w:rPr>
          <w:sz w:val="20"/>
        </w:rPr>
        <w:t xml:space="preserve">Separate preparation and review, retain journal support and reconcile key accounts. Track close duration, unreconciled balances and late adjustments. Billing dates and cash receipts do not by themselves determine revenue recognition.</w:t>
      </w:r>
    </w:p>
    <w:p>
      <w:pPr>
        <w:pStyle w:val="Title"/>
        <w:pageBreakBefore/>
      </w:pPr>
      <w:r>
        <w:t>CFO office process guide</w:t>
      </w:r>
    </w:p>
    <w:p>
      <w:pPr>
        <w:pStyle w:val="Heading1"/>
      </w:pPr>
      <w:r>
        <w:t>04  Revenue and collections</w:t>
      </w:r>
    </w:p>
    <w:p>
      <w:pPr>
        <w:spacing w:after="120"/>
      </w:pPr>
      <w:r>
        <w:rPr>
          <w:b/>
        </w:rPr>
        <w:t>Order to cash</w:t>
      </w:r>
    </w:p>
    <w:p>
      <w:pPr>
        <w:spacing w:after="100"/>
      </w:pPr>
      <w:r>
        <w:rPr>
          <w:sz w:val="20"/>
        </w:rPr>
        <w:t xml:space="preserve">Convert accepted customer orders and delivered obligations into accurate invoices and collected cash. The process protects revenue completeness and customer relationships while managing credit exposure, disputed charges and overdue receivables. Sales and operations own important steps alongside finance.</w:t>
      </w:r>
    </w:p>
    <w:p>
      <w:pPr>
        <w:spacing w:after="80"/>
      </w:pPr>
      <w:r>
        <w:rPr>
          <w:b/>
          <w:sz w:val="20"/>
        </w:rPr>
        <w:t xml:space="preserve">Ownership and participants: </w:t>
      </w:r>
      <w:r>
        <w:rPr>
          <w:sz w:val="20"/>
        </w:rPr>
        <w:t xml:space="preserve">Financial Controller accountable; the Credit Controller runs billing corrections, cash application, credit and collections. Sales and operations own order acceptance and fulfilment. FP&amp;A keys customer set-ups today.</w:t>
      </w:r>
    </w:p>
    <w:p>
      <w:pPr>
        <w:spacing w:after="80"/>
      </w:pPr>
      <w:r>
        <w:rPr>
          <w:b/>
          <w:sz w:val="20"/>
        </w:rPr>
        <w:t xml:space="preserve">Cadence today: </w:t>
      </w:r>
      <w:r>
        <w:rPr>
          <w:sz w:val="20"/>
        </w:rPr>
        <w:t xml:space="preserve">Billing </w:t>
      </w:r>
      <w:r>
        <w:rPr>
          <w:sz w:val="20"/>
          <w:highlight w:val="yellow"/>
        </w:rPr>
        <w:t xml:space="preserve">[daily / on milestones]</w:t>
      </w:r>
      <w:r>
        <w:rPr>
          <w:sz w:val="20"/>
        </w:rPr>
        <w:t xml:space="preserve">; cash application </w:t>
      </w:r>
      <w:r>
        <w:rPr>
          <w:sz w:val="20"/>
          <w:highlight w:val="yellow"/>
        </w:rPr>
        <w:t xml:space="preserve">[daily]</w:t>
      </w:r>
      <w:r>
        <w:rPr>
          <w:sz w:val="20"/>
        </w:rPr>
        <w:t xml:space="preserve">; debt review </w:t>
      </w:r>
      <w:r>
        <w:rPr>
          <w:sz w:val="20"/>
          <w:highlight w:val="yellow"/>
        </w:rPr>
        <w:t xml:space="preserve">[weekly]</w:t>
      </w:r>
      <w:r>
        <w:rPr>
          <w:sz w:val="20"/>
        </w:rPr>
        <w:t xml:space="preserve">; receivables reconciled at month-end.</w:t>
      </w:r>
    </w:p>
    <w:p>
      <w:pPr>
        <w:spacing w:after="80"/>
      </w:pPr>
      <w:r>
        <w:rPr>
          <w:b/>
          <w:sz w:val="20"/>
        </w:rPr>
        <w:t xml:space="preserve">Key inputs: </w:t>
      </w:r>
      <w:r>
        <w:rPr>
          <w:sz w:val="20"/>
        </w:rPr>
        <w:t xml:space="preserve">Approved customer records; contracts and purchase orders; agreed prices and payment terms; credit assessments; delivery or service acceptance evidence; billing milestones; bank receipts; customer disputes and remittance details.</w:t>
      </w:r>
    </w:p>
    <w:p>
      <w:pPr>
        <w:spacing w:after="80"/>
      </w:pPr>
      <w:r>
        <w:rPr>
          <w:b/>
          <w:sz w:val="20"/>
        </w:rPr>
        <w:t xml:space="preserve">Key outputs: </w:t>
      </w:r>
      <w:r>
        <w:rPr>
          <w:sz w:val="20"/>
        </w:rPr>
        <w:t xml:space="preserve">Accurate invoices and approved credit notes; customer statements; applied cash receipts; aged receivables; dispute and collection actions; bad-debt assessments; transaction evidence for accounting and cash forecasts.</w:t>
      </w:r>
    </w:p>
    <w:p>
      <w:pPr>
        <w:spacing w:after="80"/>
      </w:pPr>
      <w:r>
        <w:rPr>
          <w:b/>
          <w:sz w:val="20"/>
        </w:rPr>
        <w:t xml:space="preserve">Dependencies and handoffs: </w:t>
      </w:r>
      <w:r>
        <w:rPr>
          <w:sz w:val="20"/>
        </w:rPr>
        <w:t xml:space="preserve">Requires sales contracts, reliable fulfilment records, customer master data and applicable tax configuration (7). Feeds cash expectations to treasury (6), accounting evidence to record to report (3) and collection or margin indicators to performance management (2).</w:t>
      </w:r>
    </w:p>
    <w:p>
      <w:pPr>
        <w:spacing w:after="80"/>
      </w:pPr>
      <w:r>
        <w:rPr>
          <w:b/>
          <w:sz w:val="20"/>
        </w:rPr>
        <w:t xml:space="preserve">Current practice and workarounds: </w:t>
      </w:r>
      <w:r>
        <w:rPr>
          <w:sz w:val="20"/>
        </w:rPr>
        <w:t xml:space="preserve">Owner: Financial Controller, with the Credit Controller running day to day. Invoices a month: </w:t>
      </w:r>
      <w:r>
        <w:rPr>
          <w:sz w:val="20"/>
          <w:highlight w:val="yellow"/>
        </w:rPr>
        <w:t xml:space="preserve">[__]</w:t>
      </w:r>
      <w:r>
        <w:rPr>
          <w:sz w:val="20"/>
        </w:rPr>
        <w:t xml:space="preserve">; active customers: </w:t>
      </w:r>
      <w:r>
        <w:rPr>
          <w:sz w:val="20"/>
          <w:highlight w:val="yellow"/>
        </w:rPr>
        <w:t xml:space="preserve">[__]</w:t>
      </w:r>
      <w:r>
        <w:rPr>
          <w:sz w:val="20"/>
        </w:rPr>
        <w:t xml:space="preserve">. Remittances arrive by </w:t>
      </w:r>
      <w:r>
        <w:rPr>
          <w:sz w:val="20"/>
          <w:highlight w:val="yellow"/>
        </w:rPr>
        <w:t xml:space="preserve">[email inbox / portal / bank reference only]</w:t>
      </w:r>
      <w:r>
        <w:rPr>
          <w:sz w:val="20"/>
        </w:rPr>
        <w:t xml:space="preserve">; auto-match rate today is about </w:t>
      </w:r>
      <w:r>
        <w:rPr>
          <w:sz w:val="20"/>
          <w:highlight w:val="yellow"/>
        </w:rPr>
        <w:t xml:space="preserve">[__%]</w:t>
      </w:r>
      <w:r>
        <w:rPr>
          <w:sz w:val="20"/>
        </w:rPr>
        <w:t xml:space="preserve">. Disputes are tracked in </w:t>
      </w:r>
      <w:r>
        <w:rPr>
          <w:sz w:val="20"/>
          <w:highlight w:val="yellow"/>
        </w:rPr>
        <w:t xml:space="preserve">[system / spreadsheet / email]</w:t>
      </w:r>
      <w:r>
        <w:rPr>
          <w:sz w:val="20"/>
        </w:rPr>
        <w:t xml:space="preserve">. Known pain points: </w:t>
      </w:r>
      <w:r>
        <w:rPr>
          <w:sz w:val="20"/>
          <w:highlight w:val="yellow"/>
        </w:rPr>
        <w:t xml:space="preserve">[e.g. unapplied cash, missing customer PO numbers, billing delays]</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Set up and approve</w:t>
            </w:r>
          </w:p>
        </w:tc>
        <w:tc>
          <w:tcPr>
            <w:tcW w:type="dxa" w:w="1850"/>
            <w:vAlign w:val="center"/>
          </w:tcPr>
          <w:p>
            <w:pPr>
              <w:spacing w:after="0" w:before="0" w:line="240" w:lineRule="auto"/>
            </w:pPr>
            <w:r>
              <w:rPr>
                <w:color w:val="000000"/>
                <w:sz w:val="18"/>
              </w:rPr>
              <w:t xml:space="preserve">Sales and AR team; FP&amp;A sets up customers today</w:t>
            </w:r>
          </w:p>
        </w:tc>
        <w:tc>
          <w:tcPr>
            <w:tcW w:type="dxa" w:w="4374"/>
            <w:vAlign w:val="center"/>
          </w:tcPr>
          <w:p>
            <w:pPr>
              <w:spacing w:after="0" w:before="0" w:line="240" w:lineRule="auto"/>
            </w:pPr>
            <w:r>
              <w:rPr>
                <w:color w:val="000000"/>
                <w:sz w:val="18"/>
              </w:rPr>
              <w:t xml:space="preserve">Validate customer details, contract terms, credit limits and payment terms. Escalate credit exceptions before accepting exposure beyond approved limits.</w:t>
            </w:r>
          </w:p>
        </w:tc>
        <w:tc>
          <w:tcPr>
            <w:tcW w:type="dxa" w:w="2200"/>
            <w:vAlign w:val="center"/>
          </w:tcPr>
          <w:p>
            <w:pPr>
              <w:spacing w:after="0" w:before="0" w:line="240" w:lineRule="auto"/>
            </w:pPr>
            <w:r>
              <w:rPr>
                <w:color w:val="000000"/>
                <w:sz w:val="18"/>
              </w:rPr>
              <w:t xml:space="preserve">CRM system; customer master in Cloud ERP</w:t>
            </w:r>
          </w:p>
        </w:tc>
      </w:tr>
      <w:tr>
        <w:trPr>
          <w:cantSplit/>
        </w:trPr>
        <w:tc>
          <w:tcPr>
            <w:tcW w:type="dxa" w:w="1800"/>
            <w:vAlign w:val="center"/>
          </w:tcPr>
          <w:p>
            <w:pPr>
              <w:spacing w:after="0" w:before="0" w:line="240" w:lineRule="auto"/>
            </w:pPr>
            <w:r>
              <w:rPr>
                <w:b/>
                <w:color w:val="000000"/>
                <w:sz w:val="18"/>
              </w:rPr>
              <w:t xml:space="preserve">2  Fulfil the order</w:t>
            </w:r>
          </w:p>
        </w:tc>
        <w:tc>
          <w:tcPr>
            <w:tcW w:type="dxa" w:w="1850"/>
            <w:vAlign w:val="center"/>
          </w:tcPr>
          <w:p>
            <w:pPr>
              <w:spacing w:after="0" w:before="0" w:line="240" w:lineRule="auto"/>
            </w:pPr>
            <w:r>
              <w:rPr>
                <w:color w:val="000000"/>
                <w:sz w:val="18"/>
              </w:rPr>
              <w:t xml:space="preserve">Sales and operations</w:t>
            </w:r>
          </w:p>
        </w:tc>
        <w:tc>
          <w:tcPr>
            <w:tcW w:type="dxa" w:w="4374"/>
            <w:vAlign w:val="center"/>
          </w:tcPr>
          <w:p>
            <w:pPr>
              <w:spacing w:after="0" w:before="0" w:line="240" w:lineRule="auto"/>
            </w:pPr>
            <w:r>
              <w:rPr>
                <w:color w:val="000000"/>
                <w:sz w:val="18"/>
              </w:rPr>
              <w:t xml:space="preserve">Accept the order, deliver goods or services and record evidence of fulfilment or milestone acceptance. Resolve incomplete or disputed delivery records.</w:t>
            </w:r>
          </w:p>
        </w:tc>
        <w:tc>
          <w:tcPr>
            <w:tcW w:type="dxa" w:w="2200"/>
            <w:vAlign w:val="center"/>
          </w:tcPr>
          <w:p>
            <w:pPr>
              <w:spacing w:after="0" w:before="0" w:line="240" w:lineRule="auto"/>
            </w:pPr>
            <w:r>
              <w:rPr>
                <w:color w:val="000000"/>
                <w:sz w:val="18"/>
                <w:highlight w:val="yellow"/>
              </w:rPr>
              <w:t xml:space="preserve">[Fulfilment / project system]</w:t>
            </w:r>
          </w:p>
        </w:tc>
      </w:tr>
      <w:tr>
        <w:trPr>
          <w:cantSplit/>
        </w:trPr>
        <w:tc>
          <w:tcPr>
            <w:tcW w:type="dxa" w:w="1800"/>
            <w:vAlign w:val="center"/>
          </w:tcPr>
          <w:p>
            <w:pPr>
              <w:spacing w:after="0" w:before="0" w:line="240" w:lineRule="auto"/>
            </w:pPr>
            <w:r>
              <w:rPr>
                <w:b/>
                <w:color w:val="000000"/>
                <w:sz w:val="18"/>
              </w:rPr>
              <w:t xml:space="preserve">3  Bill accurately</w:t>
            </w:r>
          </w:p>
        </w:tc>
        <w:tc>
          <w:tcPr>
            <w:tcW w:type="dxa" w:w="1850"/>
            <w:vAlign w:val="center"/>
          </w:tcPr>
          <w:p>
            <w:pPr>
              <w:spacing w:after="0" w:before="0" w:line="240" w:lineRule="auto"/>
            </w:pPr>
            <w:r>
              <w:rPr>
                <w:color w:val="000000"/>
                <w:sz w:val="18"/>
              </w:rPr>
              <w:t xml:space="preserve">AR team</w:t>
            </w:r>
          </w:p>
        </w:tc>
        <w:tc>
          <w:tcPr>
            <w:tcW w:type="dxa" w:w="4374"/>
            <w:vAlign w:val="center"/>
          </w:tcPr>
          <w:p>
            <w:pPr>
              <w:spacing w:after="0" w:before="0" w:line="240" w:lineRule="auto"/>
            </w:pPr>
            <w:r>
              <w:rPr>
                <w:color w:val="000000"/>
                <w:sz w:val="18"/>
              </w:rPr>
              <w:t xml:space="preserve">Generate invoices from approved terms and billing triggers. Check prices, quantities and tax treatment; send invoices through the agreed customer channel.</w:t>
            </w:r>
          </w:p>
        </w:tc>
        <w:tc>
          <w:tcPr>
            <w:tcW w:type="dxa" w:w="2200"/>
            <w:vAlign w:val="center"/>
          </w:tcPr>
          <w:p>
            <w:pPr>
              <w:spacing w:after="0" w:before="0" w:line="240" w:lineRule="auto"/>
            </w:pPr>
            <w:r>
              <w:rPr>
                <w:color w:val="000000"/>
                <w:sz w:val="18"/>
              </w:rPr>
              <w:t xml:space="preserve">Billing system; VAT determined in Cloud ERP</w:t>
            </w:r>
          </w:p>
        </w:tc>
      </w:tr>
      <w:tr>
        <w:trPr>
          <w:cantSplit/>
        </w:trPr>
        <w:tc>
          <w:tcPr>
            <w:tcW w:type="dxa" w:w="1800"/>
            <w:vAlign w:val="center"/>
          </w:tcPr>
          <w:p>
            <w:pPr>
              <w:spacing w:after="0" w:before="0" w:line="240" w:lineRule="auto"/>
            </w:pPr>
            <w:r>
              <w:rPr>
                <w:b/>
                <w:color w:val="000000"/>
                <w:sz w:val="18"/>
              </w:rPr>
              <w:t xml:space="preserve">4  Collect and resolve</w:t>
            </w:r>
          </w:p>
        </w:tc>
        <w:tc>
          <w:tcPr>
            <w:tcW w:type="dxa" w:w="1850"/>
            <w:vAlign w:val="center"/>
          </w:tcPr>
          <w:p>
            <w:pPr>
              <w:spacing w:after="0" w:before="0" w:line="240" w:lineRule="auto"/>
            </w:pPr>
            <w:r>
              <w:rPr>
                <w:color w:val="000000"/>
                <w:sz w:val="18"/>
              </w:rPr>
              <w:t xml:space="preserve">AR team and sales</w:t>
            </w:r>
          </w:p>
        </w:tc>
        <w:tc>
          <w:tcPr>
            <w:tcW w:type="dxa" w:w="4374"/>
            <w:vAlign w:val="center"/>
          </w:tcPr>
          <w:p>
            <w:pPr>
              <w:spacing w:after="0" w:before="0" w:line="240" w:lineRule="auto"/>
            </w:pPr>
            <w:r>
              <w:rPr>
                <w:color w:val="000000"/>
                <w:sz w:val="18"/>
              </w:rPr>
              <w:t xml:space="preserve">Monitor due dates, contact customers and investigate disputes. Assign resolution owners and escalate overdue exposure; approve credit notes through delegated authority.</w:t>
            </w:r>
          </w:p>
        </w:tc>
        <w:tc>
          <w:tcPr>
            <w:tcW w:type="dxa" w:w="2200"/>
            <w:vAlign w:val="center"/>
          </w:tcPr>
          <w:p>
            <w:pPr>
              <w:spacing w:after="0" w:before="0" w:line="240" w:lineRule="auto"/>
            </w:pPr>
            <w:r>
              <w:rPr>
                <w:color w:val="000000"/>
                <w:sz w:val="18"/>
                <w:highlight w:val="yellow"/>
              </w:rPr>
              <w:t xml:space="preserve">[Cloud ERP / collections tool]</w:t>
            </w:r>
            <w:r>
              <w:rPr>
                <w:color w:val="000000"/>
                <w:sz w:val="18"/>
              </w:rPr>
              <w:t xml:space="preserve">; email</w:t>
            </w:r>
          </w:p>
        </w:tc>
      </w:tr>
      <w:tr>
        <w:trPr>
          <w:cantSplit/>
        </w:trPr>
        <w:tc>
          <w:tcPr>
            <w:tcW w:type="dxa" w:w="1800"/>
            <w:vAlign w:val="center"/>
          </w:tcPr>
          <w:p>
            <w:pPr>
              <w:spacing w:after="0" w:before="0" w:line="240" w:lineRule="auto"/>
            </w:pPr>
            <w:r>
              <w:rPr>
                <w:b/>
                <w:color w:val="000000"/>
                <w:sz w:val="18"/>
              </w:rPr>
              <w:t xml:space="preserve">5  Apply receipts</w:t>
            </w:r>
          </w:p>
        </w:tc>
        <w:tc>
          <w:tcPr>
            <w:tcW w:type="dxa" w:w="1850"/>
            <w:vAlign w:val="center"/>
          </w:tcPr>
          <w:p>
            <w:pPr>
              <w:spacing w:after="0" w:before="0" w:line="240" w:lineRule="auto"/>
            </w:pPr>
            <w:r>
              <w:rPr>
                <w:color w:val="000000"/>
                <w:sz w:val="18"/>
              </w:rPr>
              <w:t xml:space="preserve">AR team</w:t>
            </w:r>
          </w:p>
        </w:tc>
        <w:tc>
          <w:tcPr>
            <w:tcW w:type="dxa" w:w="4374"/>
            <w:vAlign w:val="center"/>
          </w:tcPr>
          <w:p>
            <w:pPr>
              <w:spacing w:after="0" w:before="0" w:line="240" w:lineRule="auto"/>
            </w:pPr>
            <w:r>
              <w:rPr>
                <w:color w:val="000000"/>
                <w:sz w:val="18"/>
              </w:rPr>
              <w:t xml:space="preserve">Match bank receipts to invoices using remittance details. Investigate unidentified cash, short payments and deductions, keeping unapplied amounts visible.</w:t>
            </w:r>
          </w:p>
        </w:tc>
        <w:tc>
          <w:tcPr>
            <w:tcW w:type="dxa" w:w="2200"/>
            <w:vAlign w:val="center"/>
          </w:tcPr>
          <w:p>
            <w:pPr>
              <w:spacing w:after="0" w:before="0" w:line="240" w:lineRule="auto"/>
            </w:pPr>
            <w:r>
              <w:rPr>
                <w:color w:val="000000"/>
                <w:sz w:val="18"/>
              </w:rPr>
              <w:t xml:space="preserve">Bank portal statements; Cloud ERP </w:t>
            </w:r>
            <w:r>
              <w:rPr>
                <w:color w:val="000000"/>
                <w:sz w:val="18"/>
                <w:highlight w:val="yellow"/>
              </w:rPr>
              <w:t xml:space="preserve">[cash application / Excel]</w:t>
            </w:r>
          </w:p>
        </w:tc>
      </w:tr>
      <w:tr>
        <w:trPr>
          <w:cantSplit/>
        </w:trPr>
        <w:tc>
          <w:tcPr>
            <w:tcW w:type="dxa" w:w="1800"/>
            <w:vAlign w:val="center"/>
          </w:tcPr>
          <w:p>
            <w:pPr>
              <w:spacing w:after="0" w:before="0" w:line="240" w:lineRule="auto"/>
            </w:pPr>
            <w:r>
              <w:rPr>
                <w:b/>
                <w:color w:val="000000"/>
                <w:sz w:val="18"/>
              </w:rPr>
              <w:t xml:space="preserve">6  Reconcile and assess</w:t>
            </w:r>
          </w:p>
        </w:tc>
        <w:tc>
          <w:tcPr>
            <w:tcW w:type="dxa" w:w="1850"/>
            <w:vAlign w:val="center"/>
          </w:tcPr>
          <w:p>
            <w:pPr>
              <w:spacing w:after="0" w:before="0" w:line="240" w:lineRule="auto"/>
            </w:pPr>
            <w:r>
              <w:rPr>
                <w:color w:val="000000"/>
                <w:sz w:val="18"/>
              </w:rPr>
              <w:t xml:space="preserve">AR team and Financial Controller</w:t>
            </w:r>
          </w:p>
        </w:tc>
        <w:tc>
          <w:tcPr>
            <w:tcW w:type="dxa" w:w="4374"/>
            <w:vAlign w:val="center"/>
          </w:tcPr>
          <w:p>
            <w:pPr>
              <w:spacing w:after="0" w:before="0" w:line="240" w:lineRule="auto"/>
            </w:pPr>
            <w:r>
              <w:rPr>
                <w:color w:val="000000"/>
                <w:sz w:val="18"/>
              </w:rPr>
              <w:t xml:space="preserve">Reconcile receivables to the ledger, review ageing and assess expected losses. Obtain approval for write-offs and feed revised collection expectations to treasury.</w:t>
            </w:r>
          </w:p>
        </w:tc>
        <w:tc>
          <w:tcPr>
            <w:tcW w:type="dxa" w:w="2200"/>
            <w:vAlign w:val="center"/>
          </w:tcPr>
          <w:p>
            <w:pPr>
              <w:spacing w:after="0" w:before="0" w:line="240" w:lineRule="auto"/>
            </w:pPr>
            <w:r>
              <w:rPr>
                <w:color w:val="000000"/>
                <w:sz w:val="18"/>
              </w:rPr>
              <w:t xml:space="preserve">Cloud ERP receivables ledger; ageing in </w:t>
            </w:r>
            <w:r>
              <w:rPr>
                <w:color w:val="000000"/>
                <w:sz w:val="18"/>
                <w:highlight w:val="yellow"/>
              </w:rPr>
              <w:t xml:space="preserve">[ERP / Excel]</w:t>
            </w:r>
          </w:p>
        </w:tc>
      </w:tr>
    </w:tbl>
    <w:p>
      <w:pPr>
        <w:spacing w:after="80"/>
      </w:pPr>
      <w:r>
        <w:rPr>
          <w:b/>
          <w:sz w:val="20"/>
        </w:rPr>
        <w:t xml:space="preserve">Controls and success measures: </w:t>
      </w:r>
      <w:r>
        <w:rPr>
          <w:sz w:val="20"/>
        </w:rPr>
        <w:t xml:space="preserve">Control customer-master changes and credit notes; separate collection activity from write-off approval. Track overdue debt, collection days, billing errors and unapplied cash. Accounting separately assesses when revenue should be recognised.</w:t>
      </w:r>
    </w:p>
    <w:p>
      <w:pPr>
        <w:pStyle w:val="Title"/>
        <w:pageBreakBefore/>
      </w:pPr>
      <w:r>
        <w:t>CFO office process guide</w:t>
      </w:r>
    </w:p>
    <w:p>
      <w:pPr>
        <w:pStyle w:val="Heading1"/>
      </w:pPr>
      <w:r>
        <w:t>05  Purchasing and payments</w:t>
      </w:r>
    </w:p>
    <w:p>
      <w:pPr>
        <w:spacing w:after="120"/>
      </w:pPr>
      <w:r>
        <w:rPr>
          <w:b/>
        </w:rPr>
        <w:t>Procure to pay</w:t>
      </w:r>
    </w:p>
    <w:p>
      <w:pPr>
        <w:spacing w:after="100"/>
      </w:pPr>
      <w:r>
        <w:rPr>
          <w:sz w:val="20"/>
        </w:rPr>
        <w:t xml:space="preserve">Ensure purchases are justified, authorised, received and paid accurately. The process connects business demand, procurement, supplier management and accounts payable, providing visibility of committed spend and protecting cash through checks before invoices and payments are approved.</w:t>
      </w:r>
    </w:p>
    <w:p>
      <w:pPr>
        <w:spacing w:after="80"/>
      </w:pPr>
      <w:r>
        <w:rPr>
          <w:b/>
          <w:sz w:val="20"/>
        </w:rPr>
        <w:t xml:space="preserve">Ownership and participants: </w:t>
      </w:r>
      <w:r>
        <w:rPr>
          <w:sz w:val="20"/>
        </w:rPr>
        <w:t xml:space="preserve">Financial Controller accountable; the Purchase Ledger Clerk processes invoices and prepares payment runs. Budget holders approve spend, receiving teams confirm delivery, FP&amp;A maintains supplier records today, and the CFO and a second signatory release payments.</w:t>
      </w:r>
    </w:p>
    <w:p>
      <w:pPr>
        <w:spacing w:after="80"/>
      </w:pPr>
      <w:r>
        <w:rPr>
          <w:b/>
          <w:sz w:val="20"/>
        </w:rPr>
        <w:t xml:space="preserve">Cadence today: </w:t>
      </w:r>
      <w:r>
        <w:rPr>
          <w:sz w:val="20"/>
        </w:rPr>
        <w:t xml:space="preserve">Invoices processed </w:t>
      </w:r>
      <w:r>
        <w:rPr>
          <w:sz w:val="20"/>
          <w:highlight w:val="yellow"/>
        </w:rPr>
        <w:t xml:space="preserve">[daily]</w:t>
      </w:r>
      <w:r>
        <w:rPr>
          <w:sz w:val="20"/>
        </w:rPr>
        <w:t xml:space="preserve">; payment runs on </w:t>
      </w:r>
      <w:r>
        <w:rPr>
          <w:sz w:val="20"/>
          <w:highlight w:val="yellow"/>
        </w:rPr>
        <w:t xml:space="preserve">[days]</w:t>
      </w:r>
      <w:r>
        <w:rPr>
          <w:sz w:val="20"/>
        </w:rPr>
        <w:t xml:space="preserve">; accrual review at month-end.</w:t>
      </w:r>
    </w:p>
    <w:p>
      <w:pPr>
        <w:spacing w:after="80"/>
      </w:pPr>
      <w:r>
        <w:rPr>
          <w:b/>
          <w:sz w:val="20"/>
        </w:rPr>
        <w:t xml:space="preserve">Key inputs: </w:t>
      </w:r>
      <w:r>
        <w:rPr>
          <w:sz w:val="20"/>
        </w:rPr>
        <w:t xml:space="preserve">Purchase requests; budgets and approval limits; supplier records and contracts; purchase orders; receipt or service acceptance records; invoices; expense claims; payment terms and verified bank details.</w:t>
      </w:r>
    </w:p>
    <w:p>
      <w:pPr>
        <w:spacing w:after="80"/>
      </w:pPr>
      <w:r>
        <w:rPr>
          <w:b/>
          <w:sz w:val="20"/>
        </w:rPr>
        <w:t xml:space="preserve">Key outputs: </w:t>
      </w:r>
      <w:r>
        <w:rPr>
          <w:sz w:val="20"/>
        </w:rPr>
        <w:t xml:space="preserve">Approved purchase orders and commitments; recorded liabilities and expenses or assets; approved payments; supplier statements and reconciliations; invoice exception logs; accrual information and cash requirements.</w:t>
      </w:r>
    </w:p>
    <w:p>
      <w:pPr>
        <w:spacing w:after="80"/>
      </w:pPr>
      <w:r>
        <w:rPr>
          <w:b/>
          <w:sz w:val="20"/>
        </w:rPr>
        <w:t xml:space="preserve">Dependencies and handoffs: </w:t>
      </w:r>
      <w:r>
        <w:rPr>
          <w:sz w:val="20"/>
        </w:rPr>
        <w:t xml:space="preserve">Requires budget authority from planning (1), procurement contracts, receipt confirmation from operations and controlled supplier data. Connects to treasury (6) for payment funding, tax (7) for treatment and accounting (3) for liabilities, assets and period cut-off.</w:t>
      </w:r>
    </w:p>
    <w:p>
      <w:pPr>
        <w:spacing w:after="80"/>
      </w:pPr>
      <w:r>
        <w:rPr>
          <w:b/>
          <w:sz w:val="20"/>
        </w:rPr>
        <w:t xml:space="preserve">Current practice and workarounds: </w:t>
      </w:r>
      <w:r>
        <w:rPr>
          <w:sz w:val="20"/>
        </w:rPr>
        <w:t xml:space="preserve">Owner: Financial Controller, with the Purchase Ledger Clerk running day to day. Supplier invoices arrive in a shared mailbox and are captured by OCR and other tools </w:t>
      </w:r>
      <w:r>
        <w:rPr>
          <w:sz w:val="20"/>
          <w:highlight w:val="yellow"/>
        </w:rPr>
        <w:t xml:space="preserve">[names]</w:t>
      </w:r>
      <w:r>
        <w:rPr>
          <w:sz w:val="20"/>
        </w:rPr>
        <w:t xml:space="preserve">. Invoices a month: </w:t>
      </w:r>
      <w:r>
        <w:rPr>
          <w:sz w:val="20"/>
          <w:highlight w:val="yellow"/>
        </w:rPr>
        <w:t xml:space="preserve">[__]</w:t>
      </w:r>
      <w:r>
        <w:rPr>
          <w:sz w:val="20"/>
        </w:rPr>
        <w:t xml:space="preserve">; share received without a PO: </w:t>
      </w:r>
      <w:r>
        <w:rPr>
          <w:sz w:val="20"/>
          <w:highlight w:val="yellow"/>
        </w:rPr>
        <w:t xml:space="preserve">[__%]</w:t>
      </w:r>
      <w:r>
        <w:rPr>
          <w:sz w:val="20"/>
        </w:rPr>
        <w:t xml:space="preserve">. Supplier records, including bank details, are created and changed by FP&amp;A in the Cloud ERP; bank-detail changes are verified manually </w:t>
      </w:r>
      <w:r>
        <w:rPr>
          <w:sz w:val="20"/>
          <w:highlight w:val="yellow"/>
        </w:rPr>
        <w:t xml:space="preserve">[confirm: call-back to a number already held, by someone other than the requester]</w:t>
      </w:r>
      <w:r>
        <w:rPr>
          <w:sz w:val="20"/>
        </w:rPr>
        <w:t xml:space="preserve">. Approval limits: </w:t>
      </w:r>
      <w:r>
        <w:rPr>
          <w:sz w:val="20"/>
          <w:highlight w:val="yellow"/>
        </w:rPr>
        <w:t xml:space="preserve">[link to delegated authority]</w:t>
      </w:r>
      <w:r>
        <w:rPr>
          <w:sz w:val="20"/>
        </w:rPr>
        <w:t xml:space="preserve">. Known pain points: </w:t>
      </w:r>
      <w:r>
        <w:rPr>
          <w:sz w:val="20"/>
          <w:highlight w:val="yellow"/>
        </w:rPr>
        <w:t xml:space="preserve">[e.g. non-PO invoices, missing service receipts, duplicates]</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Request and approve</w:t>
            </w:r>
          </w:p>
        </w:tc>
        <w:tc>
          <w:tcPr>
            <w:tcW w:type="dxa" w:w="1850"/>
            <w:vAlign w:val="center"/>
          </w:tcPr>
          <w:p>
            <w:pPr>
              <w:spacing w:after="0" w:before="0" w:line="240" w:lineRule="auto"/>
            </w:pPr>
            <w:r>
              <w:rPr>
                <w:color w:val="000000"/>
                <w:sz w:val="18"/>
              </w:rPr>
              <w:t xml:space="preserve">Requester and budget holder</w:t>
            </w:r>
          </w:p>
        </w:tc>
        <w:tc>
          <w:tcPr>
            <w:tcW w:type="dxa" w:w="4374"/>
            <w:vAlign w:val="center"/>
          </w:tcPr>
          <w:p>
            <w:pPr>
              <w:spacing w:after="0" w:before="0" w:line="240" w:lineRule="auto"/>
            </w:pPr>
            <w:r>
              <w:rPr>
                <w:color w:val="000000"/>
                <w:sz w:val="18"/>
              </w:rPr>
              <w:t xml:space="preserve">Describe the need, confirm budget availability and obtain delegated approval. Procurement selects or confirms the supplier and commercial terms.</w:t>
            </w:r>
          </w:p>
        </w:tc>
        <w:tc>
          <w:tcPr>
            <w:tcW w:type="dxa" w:w="2200"/>
            <w:vAlign w:val="center"/>
          </w:tcPr>
          <w:p>
            <w:pPr>
              <w:spacing w:after="0" w:before="0" w:line="240" w:lineRule="auto"/>
            </w:pPr>
            <w:r>
              <w:rPr>
                <w:color w:val="000000"/>
                <w:sz w:val="18"/>
              </w:rPr>
              <w:t xml:space="preserve">Procurement system</w:t>
            </w:r>
          </w:p>
        </w:tc>
      </w:tr>
      <w:tr>
        <w:trPr>
          <w:cantSplit/>
        </w:trPr>
        <w:tc>
          <w:tcPr>
            <w:tcW w:type="dxa" w:w="1800"/>
            <w:vAlign w:val="center"/>
          </w:tcPr>
          <w:p>
            <w:pPr>
              <w:spacing w:after="0" w:before="0" w:line="240" w:lineRule="auto"/>
            </w:pPr>
            <w:r>
              <w:rPr>
                <w:b/>
                <w:color w:val="000000"/>
                <w:sz w:val="18"/>
              </w:rPr>
              <w:t xml:space="preserve">2  Set up and order</w:t>
            </w:r>
          </w:p>
        </w:tc>
        <w:tc>
          <w:tcPr>
            <w:tcW w:type="dxa" w:w="1850"/>
            <w:vAlign w:val="center"/>
          </w:tcPr>
          <w:p>
            <w:pPr>
              <w:spacing w:after="0" w:before="0" w:line="240" w:lineRule="auto"/>
            </w:pPr>
            <w:r>
              <w:rPr>
                <w:color w:val="000000"/>
                <w:sz w:val="18"/>
              </w:rPr>
              <w:t xml:space="preserve">Requester; FP&amp;A sets up suppliers today</w:t>
            </w:r>
          </w:p>
        </w:tc>
        <w:tc>
          <w:tcPr>
            <w:tcW w:type="dxa" w:w="4374"/>
            <w:vAlign w:val="center"/>
          </w:tcPr>
          <w:p>
            <w:pPr>
              <w:spacing w:after="0" w:before="0" w:line="240" w:lineRule="auto"/>
            </w:pPr>
            <w:r>
              <w:rPr>
                <w:color w:val="000000"/>
                <w:sz w:val="18"/>
              </w:rPr>
              <w:t xml:space="preserve">Validate the supplier and independently verify bank details. Issue an approved purchase order before commitment, subject to documented exceptions.</w:t>
            </w:r>
          </w:p>
        </w:tc>
        <w:tc>
          <w:tcPr>
            <w:tcW w:type="dxa" w:w="2200"/>
            <w:vAlign w:val="center"/>
          </w:tcPr>
          <w:p>
            <w:pPr>
              <w:spacing w:after="0" w:before="0" w:line="240" w:lineRule="auto"/>
            </w:pPr>
            <w:r>
              <w:rPr>
                <w:color w:val="000000"/>
                <w:sz w:val="18"/>
              </w:rPr>
              <w:t xml:space="preserve">Supplier master in Cloud ERP (maintained by FP&amp;A); procurement system</w:t>
            </w:r>
          </w:p>
        </w:tc>
      </w:tr>
      <w:tr>
        <w:trPr>
          <w:cantSplit/>
        </w:trPr>
        <w:tc>
          <w:tcPr>
            <w:tcW w:type="dxa" w:w="1800"/>
            <w:vAlign w:val="center"/>
          </w:tcPr>
          <w:p>
            <w:pPr>
              <w:spacing w:after="0" w:before="0" w:line="240" w:lineRule="auto"/>
            </w:pPr>
            <w:r>
              <w:rPr>
                <w:b/>
                <w:color w:val="000000"/>
                <w:sz w:val="18"/>
              </w:rPr>
              <w:t xml:space="preserve">3  Confirm receipt</w:t>
            </w:r>
          </w:p>
        </w:tc>
        <w:tc>
          <w:tcPr>
            <w:tcW w:type="dxa" w:w="1850"/>
            <w:vAlign w:val="center"/>
          </w:tcPr>
          <w:p>
            <w:pPr>
              <w:spacing w:after="0" w:before="0" w:line="240" w:lineRule="auto"/>
            </w:pPr>
            <w:r>
              <w:rPr>
                <w:color w:val="000000"/>
                <w:sz w:val="18"/>
              </w:rPr>
              <w:t xml:space="preserve">Receiving team or service owner</w:t>
            </w:r>
          </w:p>
        </w:tc>
        <w:tc>
          <w:tcPr>
            <w:tcW w:type="dxa" w:w="4374"/>
            <w:vAlign w:val="center"/>
          </w:tcPr>
          <w:p>
            <w:pPr>
              <w:spacing w:after="0" w:before="0" w:line="240" w:lineRule="auto"/>
            </w:pPr>
            <w:r>
              <w:rPr>
                <w:color w:val="000000"/>
                <w:sz w:val="18"/>
              </w:rPr>
              <w:t xml:space="preserve">Record goods received or confirm services performed. Report short deliveries, quality issues and returns so invoices can be checked against actual fulfilment.</w:t>
            </w:r>
          </w:p>
        </w:tc>
        <w:tc>
          <w:tcPr>
            <w:tcW w:type="dxa" w:w="2200"/>
            <w:vAlign w:val="center"/>
          </w:tcPr>
          <w:p>
            <w:pPr>
              <w:spacing w:after="0" w:before="0" w:line="240" w:lineRule="auto"/>
            </w:pPr>
            <w:r>
              <w:rPr>
                <w:color w:val="000000"/>
                <w:sz w:val="18"/>
              </w:rPr>
              <w:t xml:space="preserve">Procurement system </w:t>
            </w:r>
            <w:r>
              <w:rPr>
                <w:color w:val="000000"/>
                <w:sz w:val="18"/>
                <w:highlight w:val="yellow"/>
              </w:rPr>
              <w:t xml:space="preserve">[goods receipt / email confirmation]</w:t>
            </w:r>
          </w:p>
        </w:tc>
      </w:tr>
      <w:tr>
        <w:trPr>
          <w:cantSplit/>
        </w:trPr>
        <w:tc>
          <w:tcPr>
            <w:tcW w:type="dxa" w:w="1800"/>
            <w:vAlign w:val="center"/>
          </w:tcPr>
          <w:p>
            <w:pPr>
              <w:spacing w:after="0" w:before="0" w:line="240" w:lineRule="auto"/>
            </w:pPr>
            <w:r>
              <w:rPr>
                <w:b/>
                <w:color w:val="000000"/>
                <w:sz w:val="18"/>
              </w:rPr>
              <w:t xml:space="preserve">4  Validate the invoice</w:t>
            </w:r>
          </w:p>
        </w:tc>
        <w:tc>
          <w:tcPr>
            <w:tcW w:type="dxa" w:w="1850"/>
            <w:vAlign w:val="center"/>
          </w:tcPr>
          <w:p>
            <w:pPr>
              <w:spacing w:after="0" w:before="0" w:line="240" w:lineRule="auto"/>
            </w:pPr>
            <w:r>
              <w:rPr>
                <w:color w:val="000000"/>
                <w:sz w:val="18"/>
              </w:rPr>
              <w:t xml:space="preserve">AP team and budget holders</w:t>
            </w:r>
          </w:p>
        </w:tc>
        <w:tc>
          <w:tcPr>
            <w:tcW w:type="dxa" w:w="4374"/>
            <w:vAlign w:val="center"/>
          </w:tcPr>
          <w:p>
            <w:pPr>
              <w:spacing w:after="0" w:before="0" w:line="240" w:lineRule="auto"/>
            </w:pPr>
            <w:r>
              <w:rPr>
                <w:color w:val="000000"/>
                <w:sz w:val="18"/>
              </w:rPr>
              <w:t xml:space="preserve">Check duplicates and match invoice, order and receipt where applicable. Route mismatches for resolution and non-order invoices through the approved exception workflow.</w:t>
            </w:r>
          </w:p>
        </w:tc>
        <w:tc>
          <w:tcPr>
            <w:tcW w:type="dxa" w:w="2200"/>
            <w:vAlign w:val="center"/>
          </w:tcPr>
          <w:p>
            <w:pPr>
              <w:spacing w:after="0" w:before="0" w:line="240" w:lineRule="auto"/>
            </w:pPr>
            <w:r>
              <w:rPr>
                <w:color w:val="000000"/>
                <w:sz w:val="18"/>
              </w:rPr>
              <w:t xml:space="preserve">Shared AP mailbox; AP system</w:t>
            </w:r>
          </w:p>
        </w:tc>
      </w:tr>
      <w:tr>
        <w:trPr>
          <w:cantSplit/>
        </w:trPr>
        <w:tc>
          <w:tcPr>
            <w:tcW w:type="dxa" w:w="1800"/>
            <w:vAlign w:val="center"/>
          </w:tcPr>
          <w:p>
            <w:pPr>
              <w:spacing w:after="0" w:before="0" w:line="240" w:lineRule="auto"/>
            </w:pPr>
            <w:r>
              <w:rPr>
                <w:b/>
                <w:color w:val="000000"/>
                <w:sz w:val="18"/>
              </w:rPr>
              <w:t xml:space="preserve">5  Approve and pay</w:t>
            </w:r>
          </w:p>
        </w:tc>
        <w:tc>
          <w:tcPr>
            <w:tcW w:type="dxa" w:w="1850"/>
            <w:vAlign w:val="center"/>
          </w:tcPr>
          <w:p>
            <w:pPr>
              <w:spacing w:after="0" w:before="0" w:line="240" w:lineRule="auto"/>
            </w:pPr>
            <w:r>
              <w:rPr>
                <w:color w:val="000000"/>
                <w:sz w:val="18"/>
              </w:rPr>
              <w:t xml:space="preserve">AP team and Financial Controller; CFO and second signatory release</w:t>
            </w:r>
          </w:p>
        </w:tc>
        <w:tc>
          <w:tcPr>
            <w:tcW w:type="dxa" w:w="4374"/>
            <w:vAlign w:val="center"/>
          </w:tcPr>
          <w:p>
            <w:pPr>
              <w:spacing w:after="0" w:before="0" w:line="240" w:lineRule="auto"/>
            </w:pPr>
            <w:r>
              <w:rPr>
                <w:color w:val="000000"/>
                <w:sz w:val="18"/>
              </w:rPr>
              <w:t xml:space="preserve">Prepare a due-date-based payment proposal, resolve holds and obtain independent approval. Treasury confirms funding; authorised signatories release payments and remittances.</w:t>
            </w:r>
          </w:p>
        </w:tc>
        <w:tc>
          <w:tcPr>
            <w:tcW w:type="dxa" w:w="2200"/>
            <w:vAlign w:val="center"/>
          </w:tcPr>
          <w:p>
            <w:pPr>
              <w:spacing w:after="0" w:before="0" w:line="240" w:lineRule="auto"/>
            </w:pPr>
            <w:r>
              <w:rPr>
                <w:color w:val="000000"/>
                <w:sz w:val="18"/>
              </w:rPr>
              <w:t xml:space="preserve">Cloud ERP payment proposal; bank portal</w:t>
            </w:r>
          </w:p>
        </w:tc>
      </w:tr>
      <w:tr>
        <w:trPr>
          <w:cantSplit/>
        </w:trPr>
        <w:tc>
          <w:tcPr>
            <w:tcW w:type="dxa" w:w="1800"/>
            <w:vAlign w:val="center"/>
          </w:tcPr>
          <w:p>
            <w:pPr>
              <w:spacing w:after="0" w:before="0" w:line="240" w:lineRule="auto"/>
            </w:pPr>
            <w:r>
              <w:rPr>
                <w:b/>
                <w:color w:val="000000"/>
                <w:sz w:val="18"/>
              </w:rPr>
              <w:t xml:space="preserve">6  Reconcile and close</w:t>
            </w:r>
          </w:p>
        </w:tc>
        <w:tc>
          <w:tcPr>
            <w:tcW w:type="dxa" w:w="1850"/>
            <w:vAlign w:val="center"/>
          </w:tcPr>
          <w:p>
            <w:pPr>
              <w:spacing w:after="0" w:before="0" w:line="240" w:lineRule="auto"/>
            </w:pPr>
            <w:r>
              <w:rPr>
                <w:color w:val="000000"/>
                <w:sz w:val="18"/>
              </w:rPr>
              <w:t xml:space="preserve">AP team and accountants</w:t>
            </w:r>
          </w:p>
        </w:tc>
        <w:tc>
          <w:tcPr>
            <w:tcW w:type="dxa" w:w="4374"/>
            <w:vAlign w:val="center"/>
          </w:tcPr>
          <w:p>
            <w:pPr>
              <w:spacing w:after="0" w:before="0" w:line="240" w:lineRule="auto"/>
            </w:pPr>
            <w:r>
              <w:rPr>
                <w:color w:val="000000"/>
                <w:sz w:val="18"/>
              </w:rPr>
              <w:t xml:space="preserve">Reconcile supplier and bank records, investigate open items and accrue received but uninvoiced goods or services. Update commitments and the cash forecast.</w:t>
            </w:r>
          </w:p>
        </w:tc>
        <w:tc>
          <w:tcPr>
            <w:tcW w:type="dxa" w:w="2200"/>
            <w:vAlign w:val="center"/>
          </w:tcPr>
          <w:p>
            <w:pPr>
              <w:spacing w:after="0" w:before="0" w:line="240" w:lineRule="auto"/>
            </w:pPr>
            <w:r>
              <w:rPr>
                <w:color w:val="000000"/>
                <w:sz w:val="18"/>
              </w:rPr>
              <w:t xml:space="preserve">Cloud ERP; supplier statements by email</w:t>
            </w:r>
          </w:p>
        </w:tc>
      </w:tr>
    </w:tbl>
    <w:p>
      <w:pPr>
        <w:spacing w:after="80"/>
      </w:pPr>
      <w:r>
        <w:rPr>
          <w:b/>
          <w:sz w:val="20"/>
        </w:rPr>
        <w:t xml:space="preserve">Controls and success measures: </w:t>
      </w:r>
      <w:r>
        <w:rPr>
          <w:sz w:val="20"/>
        </w:rPr>
        <w:t xml:space="preserve">Separate supplier changes, invoice approval and payment release. Verify changed bank details through a trusted channel. Track overdue invoices, payment errors, unmatched items and exceptions to purchasing policy.</w:t>
      </w:r>
    </w:p>
    <w:p>
      <w:pPr>
        <w:pStyle w:val="Title"/>
        <w:pageBreakBefore/>
      </w:pPr>
      <w:r>
        <w:t>CFO office process guide</w:t>
      </w:r>
    </w:p>
    <w:p>
      <w:pPr>
        <w:pStyle w:val="Heading1"/>
      </w:pPr>
      <w:r>
        <w:t>06  Treasury and working capital</w:t>
      </w:r>
    </w:p>
    <w:p>
      <w:pPr>
        <w:spacing w:after="100"/>
      </w:pPr>
      <w:r>
        <w:rPr>
          <w:sz w:val="20"/>
        </w:rPr>
        <w:t xml:space="preserve">Maintain sufficient cash to meet obligations while managing financing and financial exposures within approved limits. Treasury coordinates liquidity, banking and funding; sales, procurement and operations retain responsibility for the customer, supplier and inventory decisions that drive working capital.</w:t>
      </w:r>
    </w:p>
    <w:p>
      <w:pPr>
        <w:spacing w:after="80"/>
      </w:pPr>
      <w:r>
        <w:rPr>
          <w:b/>
          <w:sz w:val="20"/>
        </w:rPr>
        <w:t xml:space="preserve">Ownership and participants: </w:t>
      </w:r>
      <w:r>
        <w:rPr>
          <w:sz w:val="20"/>
        </w:rPr>
        <w:t xml:space="preserve">CFO accountable; the Financial Controller runs cash and treasury day to day and the accountants keep the cash position and forecast. AR, AP and FP&amp;A supply inputs; the CFO and a second signatory release payments.</w:t>
      </w:r>
    </w:p>
    <w:p>
      <w:pPr>
        <w:spacing w:after="80"/>
      </w:pPr>
      <w:r>
        <w:rPr>
          <w:b/>
          <w:sz w:val="20"/>
        </w:rPr>
        <w:t xml:space="preserve">Cadence today: </w:t>
      </w:r>
      <w:r>
        <w:rPr>
          <w:sz w:val="20"/>
        </w:rPr>
        <w:t xml:space="preserve">Daily cash position from the bank portal by </w:t>
      </w:r>
      <w:r>
        <w:rPr>
          <w:sz w:val="20"/>
          <w:highlight w:val="yellow"/>
        </w:rPr>
        <w:t xml:space="preserve">[time]</w:t>
      </w:r>
      <w:r>
        <w:rPr>
          <w:sz w:val="20"/>
        </w:rPr>
        <w:t xml:space="preserve">; </w:t>
      </w:r>
      <w:r>
        <w:rPr>
          <w:sz w:val="20"/>
          <w:highlight w:val="yellow"/>
        </w:rPr>
        <w:t xml:space="preserve">[13]</w:t>
      </w:r>
      <w:r>
        <w:rPr>
          <w:sz w:val="20"/>
        </w:rPr>
        <w:t xml:space="preserve">-week forecast in Excel updated </w:t>
      </w:r>
      <w:r>
        <w:rPr>
          <w:sz w:val="20"/>
          <w:highlight w:val="yellow"/>
        </w:rPr>
        <w:t xml:space="preserve">[weekly, on day]</w:t>
      </w:r>
      <w:r>
        <w:rPr>
          <w:sz w:val="20"/>
        </w:rPr>
        <w:t xml:space="preserve">; monthly funding and working-capital review.</w:t>
      </w:r>
    </w:p>
    <w:p>
      <w:pPr>
        <w:spacing w:after="80"/>
      </w:pPr>
      <w:r>
        <w:rPr>
          <w:b/>
          <w:sz w:val="20"/>
        </w:rPr>
        <w:t xml:space="preserve">Key inputs: </w:t>
      </w:r>
      <w:r>
        <w:rPr>
          <w:sz w:val="20"/>
        </w:rPr>
        <w:t xml:space="preserve">Bank balances; expected customer receipts; supplier, payroll and tax payments; inventory plans; investment commitments; debt schedules; financing terms and covenant definitions </w:t>
      </w:r>
      <w:r>
        <w:rPr>
          <w:sz w:val="20"/>
          <w:highlight w:val="yellow"/>
        </w:rPr>
        <w:t xml:space="preserve">[if any debt]</w:t>
      </w:r>
      <w:r>
        <w:rPr>
          <w:sz w:val="20"/>
        </w:rPr>
        <w:t xml:space="preserve">; approved treasury policies.</w:t>
      </w:r>
    </w:p>
    <w:p>
      <w:pPr>
        <w:spacing w:after="80"/>
      </w:pPr>
      <w:r>
        <w:rPr>
          <w:b/>
          <w:sz w:val="20"/>
        </w:rPr>
        <w:t xml:space="preserve">Key outputs: </w:t>
      </w:r>
      <w:r>
        <w:rPr>
          <w:sz w:val="20"/>
        </w:rPr>
        <w:t xml:space="preserve">Cash position and liquidity forecast; funding or investment decisions; approved financing and hedging transactions; covenant monitoring; working-capital actions; bank instructions and accounting evidence.</w:t>
      </w:r>
    </w:p>
    <w:p>
      <w:pPr>
        <w:spacing w:after="80"/>
      </w:pPr>
      <w:r>
        <w:rPr>
          <w:b/>
          <w:sz w:val="20"/>
        </w:rPr>
        <w:t xml:space="preserve">Dependencies and handoffs: </w:t>
      </w:r>
      <w:r>
        <w:rPr>
          <w:sz w:val="20"/>
        </w:rPr>
        <w:t xml:space="preserve">Depends on collections (4), purchasing (5), HR payroll, tax (7) and investment commitments (9) for cash timing; planning (1) supplies the longer-term outlook. Informs funding limits, accounting (3), performance management (2) and stakeholder reporting (10).</w:t>
      </w:r>
    </w:p>
    <w:p>
      <w:pPr>
        <w:spacing w:after="80"/>
      </w:pPr>
      <w:r>
        <w:rPr>
          <w:b/>
          <w:sz w:val="20"/>
        </w:rPr>
        <w:t xml:space="preserve">Current practice and workarounds: </w:t>
      </w:r>
      <w:r>
        <w:rPr>
          <w:sz w:val="20"/>
        </w:rPr>
        <w:t xml:space="preserve">Owner: CFO, with the Financial Controller running day to day. One bank account, accessed through the bank portal; there is no treasury management system. All transactions are in GBP, so there is no foreign-currency exposure. The short-term forecast is built in Excel from </w:t>
      </w:r>
      <w:r>
        <w:rPr>
          <w:sz w:val="20"/>
          <w:highlight w:val="yellow"/>
        </w:rPr>
        <w:t xml:space="preserve">[AR ageing, AP due list, payroll, VAT and tax dates]</w:t>
      </w:r>
      <w:r>
        <w:rPr>
          <w:sz w:val="20"/>
        </w:rPr>
        <w:t xml:space="preserve">. Facilities and covenants: </w:t>
      </w:r>
      <w:r>
        <w:rPr>
          <w:sz w:val="20"/>
          <w:highlight w:val="yellow"/>
        </w:rPr>
        <w:t xml:space="preserve">[list / none]</w:t>
      </w:r>
      <w:r>
        <w:rPr>
          <w:sz w:val="20"/>
        </w:rPr>
        <w:t xml:space="preserve">. Known pain points: </w:t>
      </w:r>
      <w:r>
        <w:rPr>
          <w:sz w:val="20"/>
          <w:highlight w:val="yellow"/>
        </w:rPr>
        <w:t xml:space="preserve">[e.g. manual statement downloads, forecast inputs by email]</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Establish the position</w:t>
            </w:r>
          </w:p>
        </w:tc>
        <w:tc>
          <w:tcPr>
            <w:tcW w:type="dxa" w:w="1850"/>
            <w:vAlign w:val="center"/>
          </w:tcPr>
          <w:p>
            <w:pPr>
              <w:spacing w:after="0" w:before="0" w:line="240" w:lineRule="auto"/>
            </w:pPr>
            <w:r>
              <w:rPr>
                <w:color w:val="000000"/>
                <w:sz w:val="18"/>
              </w:rPr>
              <w:t xml:space="preserve">Accountants</w:t>
            </w:r>
          </w:p>
        </w:tc>
        <w:tc>
          <w:tcPr>
            <w:tcW w:type="dxa" w:w="4374"/>
            <w:vAlign w:val="center"/>
          </w:tcPr>
          <w:p>
            <w:pPr>
              <w:spacing w:after="0" w:before="0" w:line="240" w:lineRule="auto"/>
            </w:pPr>
            <w:r>
              <w:rPr>
                <w:color w:val="000000"/>
                <w:sz w:val="18"/>
              </w:rPr>
              <w:t xml:space="preserve">Collect bank balances and identify available, restricted and in-transit cash. Reconcile movements and confirm material obligations falling due.</w:t>
            </w:r>
          </w:p>
        </w:tc>
        <w:tc>
          <w:tcPr>
            <w:tcW w:type="dxa" w:w="2200"/>
            <w:vAlign w:val="center"/>
          </w:tcPr>
          <w:p>
            <w:pPr>
              <w:spacing w:after="0" w:before="0" w:line="240" w:lineRule="auto"/>
            </w:pPr>
            <w:r>
              <w:rPr>
                <w:color w:val="000000"/>
                <w:sz w:val="18"/>
              </w:rPr>
              <w:t xml:space="preserve">Bank portal; Excel</w:t>
            </w:r>
          </w:p>
        </w:tc>
      </w:tr>
      <w:tr>
        <w:trPr>
          <w:cantSplit/>
        </w:trPr>
        <w:tc>
          <w:tcPr>
            <w:tcW w:type="dxa" w:w="1800"/>
            <w:vAlign w:val="center"/>
          </w:tcPr>
          <w:p>
            <w:pPr>
              <w:spacing w:after="0" w:before="0" w:line="240" w:lineRule="auto"/>
            </w:pPr>
            <w:r>
              <w:rPr>
                <w:b/>
                <w:color w:val="000000"/>
                <w:sz w:val="18"/>
              </w:rPr>
              <w:t xml:space="preserve">2  Forecast cash</w:t>
            </w:r>
          </w:p>
        </w:tc>
        <w:tc>
          <w:tcPr>
            <w:tcW w:type="dxa" w:w="1850"/>
            <w:vAlign w:val="center"/>
          </w:tcPr>
          <w:p>
            <w:pPr>
              <w:spacing w:after="0" w:before="0" w:line="240" w:lineRule="auto"/>
            </w:pPr>
            <w:r>
              <w:rPr>
                <w:color w:val="000000"/>
                <w:sz w:val="18"/>
              </w:rPr>
              <w:t xml:space="preserve">Accountants, with AR and AP inputs</w:t>
            </w:r>
          </w:p>
        </w:tc>
        <w:tc>
          <w:tcPr>
            <w:tcW w:type="dxa" w:w="4374"/>
            <w:vAlign w:val="center"/>
          </w:tcPr>
          <w:p>
            <w:pPr>
              <w:spacing w:after="0" w:before="0" w:line="240" w:lineRule="auto"/>
            </w:pPr>
            <w:r>
              <w:rPr>
                <w:color w:val="000000"/>
                <w:sz w:val="18"/>
              </w:rPr>
              <w:t xml:space="preserve">Build a rolling </w:t>
            </w:r>
            <w:r>
              <w:rPr>
                <w:color w:val="000000"/>
                <w:sz w:val="18"/>
                <w:highlight w:val="yellow"/>
              </w:rPr>
              <w:t xml:space="preserve">[13]</w:t>
            </w:r>
            <w:r>
              <w:rPr>
                <w:color w:val="000000"/>
                <w:sz w:val="18"/>
              </w:rPr>
              <w:t xml:space="preserve">-week forecast and link it to the longer-term plan. Assign owners to uncertain receipts and payments.</w:t>
            </w:r>
          </w:p>
        </w:tc>
        <w:tc>
          <w:tcPr>
            <w:tcW w:type="dxa" w:w="2200"/>
            <w:vAlign w:val="center"/>
          </w:tcPr>
          <w:p>
            <w:pPr>
              <w:spacing w:after="0" w:before="0" w:line="240" w:lineRule="auto"/>
            </w:pPr>
            <w:r>
              <w:rPr>
                <w:color w:val="000000"/>
                <w:sz w:val="18"/>
              </w:rPr>
              <w:t xml:space="preserve">Excel forecast; inputs from Cloud ERP and the Excel plan</w:t>
            </w:r>
          </w:p>
        </w:tc>
      </w:tr>
      <w:tr>
        <w:trPr>
          <w:cantSplit/>
        </w:trPr>
        <w:tc>
          <w:tcPr>
            <w:tcW w:type="dxa" w:w="1800"/>
            <w:vAlign w:val="center"/>
          </w:tcPr>
          <w:p>
            <w:pPr>
              <w:spacing w:after="0" w:before="0" w:line="240" w:lineRule="auto"/>
            </w:pPr>
            <w:r>
              <w:rPr>
                <w:b/>
                <w:color w:val="000000"/>
                <w:sz w:val="18"/>
              </w:rPr>
              <w:t xml:space="preserve">3  Assess exposure</w:t>
            </w:r>
          </w:p>
        </w:tc>
        <w:tc>
          <w:tcPr>
            <w:tcW w:type="dxa" w:w="1850"/>
            <w:vAlign w:val="center"/>
          </w:tcPr>
          <w:p>
            <w:pPr>
              <w:spacing w:after="0" w:before="0" w:line="240" w:lineRule="auto"/>
            </w:pPr>
            <w:r>
              <w:rPr>
                <w:color w:val="000000"/>
                <w:sz w:val="18"/>
              </w:rPr>
              <w:t xml:space="preserve">Financial Controller and CFO</w:t>
            </w:r>
          </w:p>
        </w:tc>
        <w:tc>
          <w:tcPr>
            <w:tcW w:type="dxa" w:w="4374"/>
            <w:vAlign w:val="center"/>
          </w:tcPr>
          <w:p>
            <w:pPr>
              <w:spacing w:after="0" w:before="0" w:line="240" w:lineRule="auto"/>
            </w:pPr>
            <w:r>
              <w:rPr>
                <w:color w:val="000000"/>
                <w:sz w:val="18"/>
              </w:rPr>
              <w:t xml:space="preserve">Evaluate liquidity headroom and, where there is debt, financing terms, covenant headroom and interest-rate exposure. There is no foreign-currency exposure. Test downside scenarios and escalate potential shortfalls early.</w:t>
            </w:r>
          </w:p>
        </w:tc>
        <w:tc>
          <w:tcPr>
            <w:tcW w:type="dxa" w:w="2200"/>
            <w:vAlign w:val="center"/>
          </w:tcPr>
          <w:p>
            <w:pPr>
              <w:spacing w:after="0" w:before="0" w:line="240" w:lineRule="auto"/>
            </w:pPr>
            <w:r>
              <w:rPr>
                <w:color w:val="000000"/>
                <w:sz w:val="18"/>
              </w:rPr>
              <w:t xml:space="preserve">Excel </w:t>
            </w:r>
            <w:r>
              <w:rPr>
                <w:color w:val="000000"/>
                <w:sz w:val="18"/>
                <w:highlight w:val="yellow"/>
              </w:rPr>
              <w:t xml:space="preserve">[covenant model, if any debt]</w:t>
            </w:r>
          </w:p>
        </w:tc>
      </w:tr>
      <w:tr>
        <w:trPr>
          <w:cantSplit/>
        </w:trPr>
        <w:tc>
          <w:tcPr>
            <w:tcW w:type="dxa" w:w="1800"/>
            <w:vAlign w:val="center"/>
          </w:tcPr>
          <w:p>
            <w:pPr>
              <w:spacing w:after="0" w:before="0" w:line="240" w:lineRule="auto"/>
            </w:pPr>
            <w:r>
              <w:rPr>
                <w:b/>
                <w:color w:val="000000"/>
                <w:sz w:val="18"/>
              </w:rPr>
              <w:t xml:space="preserve">4  Agree actions</w:t>
            </w:r>
          </w:p>
        </w:tc>
        <w:tc>
          <w:tcPr>
            <w:tcW w:type="dxa" w:w="1850"/>
            <w:vAlign w:val="center"/>
          </w:tcPr>
          <w:p>
            <w:pPr>
              <w:spacing w:after="0" w:before="0" w:line="240" w:lineRule="auto"/>
            </w:pPr>
            <w:r>
              <w:rPr>
                <w:color w:val="000000"/>
                <w:sz w:val="18"/>
              </w:rPr>
              <w:t xml:space="preserve">CFO and Financial Controller</w:t>
            </w:r>
          </w:p>
        </w:tc>
        <w:tc>
          <w:tcPr>
            <w:tcW w:type="dxa" w:w="4374"/>
            <w:vAlign w:val="center"/>
          </w:tcPr>
          <w:p>
            <w:pPr>
              <w:spacing w:after="0" w:before="0" w:line="240" w:lineRule="auto"/>
            </w:pPr>
            <w:r>
              <w:rPr>
                <w:color w:val="000000"/>
                <w:sz w:val="18"/>
              </w:rPr>
              <w:t xml:space="preserve">Select funding, cash investment or exposure-management actions within policy. Agree collections, inventory and supplier actions with the teams that control them.</w:t>
            </w:r>
          </w:p>
        </w:tc>
        <w:tc>
          <w:tcPr>
            <w:tcW w:type="dxa" w:w="2200"/>
            <w:vAlign w:val="center"/>
          </w:tcPr>
          <w:p>
            <w:pPr>
              <w:spacing w:after="0" w:before="0" w:line="240" w:lineRule="auto"/>
            </w:pPr>
            <w:r>
              <w:rPr>
                <w:color w:val="000000"/>
                <w:sz w:val="18"/>
              </w:rPr>
              <w:t xml:space="preserve">Treasury review; decisions on SharePoint</w:t>
            </w:r>
          </w:p>
        </w:tc>
      </w:tr>
      <w:tr>
        <w:trPr>
          <w:cantSplit/>
        </w:trPr>
        <w:tc>
          <w:tcPr>
            <w:tcW w:type="dxa" w:w="1800"/>
            <w:vAlign w:val="center"/>
          </w:tcPr>
          <w:p>
            <w:pPr>
              <w:spacing w:after="0" w:before="0" w:line="240" w:lineRule="auto"/>
            </w:pPr>
            <w:r>
              <w:rPr>
                <w:b/>
                <w:color w:val="000000"/>
                <w:sz w:val="18"/>
              </w:rPr>
              <w:t xml:space="preserve">5  Execute and settle</w:t>
            </w:r>
          </w:p>
        </w:tc>
        <w:tc>
          <w:tcPr>
            <w:tcW w:type="dxa" w:w="1850"/>
            <w:vAlign w:val="center"/>
          </w:tcPr>
          <w:p>
            <w:pPr>
              <w:spacing w:after="0" w:before="0" w:line="240" w:lineRule="auto"/>
            </w:pPr>
            <w:r>
              <w:rPr>
                <w:color w:val="000000"/>
                <w:sz w:val="18"/>
              </w:rPr>
              <w:t xml:space="preserve">CFO and second signatory</w:t>
            </w:r>
          </w:p>
        </w:tc>
        <w:tc>
          <w:tcPr>
            <w:tcW w:type="dxa" w:w="4374"/>
            <w:vAlign w:val="center"/>
          </w:tcPr>
          <w:p>
            <w:pPr>
              <w:spacing w:after="0" w:before="0" w:line="240" w:lineRule="auto"/>
            </w:pPr>
            <w:r>
              <w:rPr>
                <w:color w:val="000000"/>
                <w:sz w:val="18"/>
              </w:rPr>
              <w:t xml:space="preserve">Obtain required approvals, execute approved transactions and arrange settlement. Separate dealing, confirmation and payment release </w:t>
            </w:r>
            <w:r>
              <w:rPr>
                <w:color w:val="000000"/>
                <w:sz w:val="18"/>
                <w:highlight w:val="yellow"/>
              </w:rPr>
              <w:t xml:space="preserve">[confirm any role that does more than one today]</w:t>
            </w:r>
            <w:r>
              <w:rPr>
                <w:color w:val="000000"/>
                <w:sz w:val="18"/>
              </w:rPr>
              <w:t xml:space="preserve">.</w:t>
            </w:r>
          </w:p>
        </w:tc>
        <w:tc>
          <w:tcPr>
            <w:tcW w:type="dxa" w:w="2200"/>
            <w:vAlign w:val="center"/>
          </w:tcPr>
          <w:p>
            <w:pPr>
              <w:spacing w:after="0" w:before="0" w:line="240" w:lineRule="auto"/>
            </w:pPr>
            <w:r>
              <w:rPr>
                <w:color w:val="000000"/>
                <w:sz w:val="18"/>
              </w:rPr>
              <w:t xml:space="preserve">Bank portal</w:t>
            </w:r>
          </w:p>
        </w:tc>
      </w:tr>
      <w:tr>
        <w:trPr>
          <w:cantSplit/>
        </w:trPr>
        <w:tc>
          <w:tcPr>
            <w:tcW w:type="dxa" w:w="1800"/>
            <w:vAlign w:val="center"/>
          </w:tcPr>
          <w:p>
            <w:pPr>
              <w:spacing w:after="0" w:before="0" w:line="240" w:lineRule="auto"/>
            </w:pPr>
            <w:r>
              <w:rPr>
                <w:b/>
                <w:color w:val="000000"/>
                <w:sz w:val="18"/>
              </w:rPr>
              <w:t xml:space="preserve">6  Reconcile and monitor</w:t>
            </w:r>
          </w:p>
        </w:tc>
        <w:tc>
          <w:tcPr>
            <w:tcW w:type="dxa" w:w="1850"/>
            <w:vAlign w:val="center"/>
          </w:tcPr>
          <w:p>
            <w:pPr>
              <w:spacing w:after="0" w:before="0" w:line="240" w:lineRule="auto"/>
            </w:pPr>
            <w:r>
              <w:rPr>
                <w:color w:val="000000"/>
                <w:sz w:val="18"/>
              </w:rPr>
              <w:t xml:space="preserve">Accountants and Financial Controller</w:t>
            </w:r>
          </w:p>
        </w:tc>
        <w:tc>
          <w:tcPr>
            <w:tcW w:type="dxa" w:w="4374"/>
            <w:vAlign w:val="center"/>
          </w:tcPr>
          <w:p>
            <w:pPr>
              <w:spacing w:after="0" w:before="0" w:line="240" w:lineRule="auto"/>
            </w:pPr>
            <w:r>
              <w:rPr>
                <w:color w:val="000000"/>
                <w:sz w:val="18"/>
              </w:rPr>
              <w:t xml:space="preserve">Reconcile bank activity, record transactions and compare forecast with actual cash. Monitor limits and covenants; adjust actions and report material exceptions.</w:t>
            </w:r>
          </w:p>
        </w:tc>
        <w:tc>
          <w:tcPr>
            <w:tcW w:type="dxa" w:w="2200"/>
            <w:vAlign w:val="center"/>
          </w:tcPr>
          <w:p>
            <w:pPr>
              <w:spacing w:after="0" w:before="0" w:line="240" w:lineRule="auto"/>
            </w:pPr>
            <w:r>
              <w:rPr>
                <w:color w:val="000000"/>
                <w:sz w:val="18"/>
              </w:rPr>
              <w:t xml:space="preserve">Cloud ERP bank reconciliation</w:t>
            </w:r>
          </w:p>
        </w:tc>
      </w:tr>
    </w:tbl>
    <w:p>
      <w:pPr>
        <w:spacing w:after="80"/>
      </w:pPr>
      <w:r>
        <w:rPr>
          <w:b/>
          <w:sz w:val="20"/>
        </w:rPr>
        <w:t xml:space="preserve">Controls and success measures: </w:t>
      </w:r>
      <w:r>
        <w:rPr>
          <w:sz w:val="20"/>
        </w:rPr>
        <w:t xml:space="preserve">Maintain approved counterparties, access controls, payment limits and independent review. Track minimum liquidity headroom, forecast accuracy, covenant headroom and working-capital trends; investigate forecast misses by source.</w:t>
      </w:r>
    </w:p>
    <w:p>
      <w:pPr>
        <w:pStyle w:val="Title"/>
        <w:pageBreakBefore/>
      </w:pPr>
      <w:r>
        <w:t>CFO office process guide</w:t>
      </w:r>
    </w:p>
    <w:p>
      <w:pPr>
        <w:pStyle w:val="Heading1"/>
      </w:pPr>
      <w:r>
        <w:t>07  Tax management</w:t>
      </w:r>
    </w:p>
    <w:p>
      <w:pPr>
        <w:spacing w:after="100"/>
      </w:pPr>
      <w:r>
        <w:rPr>
          <w:sz w:val="20"/>
        </w:rPr>
        <w:t xml:space="preserve">Determine, account for and meet the organisation's tax obligations, while assessing the tax consequences of business decisions. The process coordinates direct and indirect taxes, and the interface with the payroll bureau, using UK rules and filing requirements.</w:t>
      </w:r>
    </w:p>
    <w:p>
      <w:pPr>
        <w:spacing w:after="80"/>
      </w:pPr>
      <w:r>
        <w:rPr>
          <w:b/>
          <w:sz w:val="20"/>
        </w:rPr>
        <w:t xml:space="preserve">Ownership and participants: </w:t>
      </w:r>
      <w:r>
        <w:rPr>
          <w:sz w:val="20"/>
        </w:rPr>
        <w:t xml:space="preserve">Financial Controller accountable, with CFO oversight. The accountants prepare VAT, PAYE and provision papers; external tax advisers prepare the corporation tax computation and return; the payroll bureau handles payroll taxes.</w:t>
      </w:r>
    </w:p>
    <w:p>
      <w:pPr>
        <w:spacing w:after="80"/>
      </w:pPr>
      <w:r>
        <w:rPr>
          <w:b/>
          <w:sz w:val="20"/>
        </w:rPr>
        <w:t xml:space="preserve">Cadence today: </w:t>
      </w:r>
      <w:r>
        <w:rPr>
          <w:sz w:val="20"/>
        </w:rPr>
        <w:t xml:space="preserve">VAT returns </w:t>
      </w:r>
      <w:r>
        <w:rPr>
          <w:sz w:val="20"/>
          <w:highlight w:val="yellow"/>
        </w:rPr>
        <w:t xml:space="preserve">[monthly / quarterly]</w:t>
      </w:r>
      <w:r>
        <w:rPr>
          <w:sz w:val="20"/>
        </w:rPr>
        <w:t xml:space="preserve"> submitted under Making Tax Digital directly from the Cloud ERP; corporation tax payments on </w:t>
      </w:r>
      <w:r>
        <w:rPr>
          <w:sz w:val="20"/>
          <w:highlight w:val="yellow"/>
        </w:rPr>
        <w:t xml:space="preserve">[dates]</w:t>
      </w:r>
      <w:r>
        <w:rPr>
          <w:sz w:val="20"/>
        </w:rPr>
        <w:t xml:space="preserve">; provisions </w:t>
      </w:r>
      <w:r>
        <w:rPr>
          <w:sz w:val="20"/>
          <w:highlight w:val="yellow"/>
        </w:rPr>
        <w:t xml:space="preserve">[quarterly]</w:t>
      </w:r>
      <w:r>
        <w:rPr>
          <w:sz w:val="20"/>
        </w:rPr>
        <w:t xml:space="preserve">; annual returns per the compliance calendar in </w:t>
      </w:r>
      <w:r>
        <w:rPr>
          <w:sz w:val="20"/>
          <w:highlight w:val="yellow"/>
        </w:rPr>
        <w:t xml:space="preserve">[location]</w:t>
      </w:r>
      <w:r>
        <w:rPr>
          <w:sz w:val="20"/>
        </w:rPr>
        <w:t xml:space="preserve">.</w:t>
      </w:r>
    </w:p>
    <w:p>
      <w:pPr>
        <w:spacing w:after="80"/>
      </w:pPr>
      <w:r>
        <w:rPr>
          <w:b/>
          <w:sz w:val="20"/>
        </w:rPr>
        <w:t xml:space="preserve">Key inputs: </w:t>
      </w:r>
      <w:r>
        <w:rPr>
          <w:sz w:val="20"/>
        </w:rPr>
        <w:t xml:space="preserve">The trial balance; transaction and payroll data; prior returns and balances; tax attributes; investment plans; applicable rules and advice; correspondence from tax authorities.</w:t>
      </w:r>
    </w:p>
    <w:p>
      <w:pPr>
        <w:spacing w:after="80"/>
      </w:pPr>
      <w:r>
        <w:rPr>
          <w:b/>
          <w:sz w:val="20"/>
        </w:rPr>
        <w:t xml:space="preserve">Key outputs: </w:t>
      </w:r>
      <w:r>
        <w:rPr>
          <w:sz w:val="20"/>
        </w:rPr>
        <w:t xml:space="preserve">Reviewed tax calculations and returns; payment instructions and filing receipts; current and deferred tax accounting where applicable; tax reconciliations; documented positions; risk and enquiry logs; planning assumptions.</w:t>
      </w:r>
    </w:p>
    <w:p>
      <w:pPr>
        <w:spacing w:after="80"/>
      </w:pPr>
      <w:r>
        <w:rPr>
          <w:b/>
          <w:sz w:val="20"/>
        </w:rPr>
        <w:t xml:space="preserve">Dependencies and handoffs: </w:t>
      </w:r>
      <w:r>
        <w:rPr>
          <w:sz w:val="20"/>
        </w:rPr>
        <w:t xml:space="preserve">Requires controlled accounting data (3), transaction detail from billing (4) and purchasing (5), and payroll information from HR. Treasury (6) funds payments; planning (1) and transactions (9) need tax assumptions; reporting (3 and 10) needs reviewed tax estimates.</w:t>
      </w:r>
    </w:p>
    <w:p>
      <w:pPr>
        <w:spacing w:after="80"/>
      </w:pPr>
      <w:r>
        <w:rPr>
          <w:b/>
          <w:sz w:val="20"/>
        </w:rPr>
        <w:t xml:space="preserve">Current practice and workarounds: </w:t>
      </w:r>
      <w:r>
        <w:rPr>
          <w:sz w:val="20"/>
        </w:rPr>
        <w:t xml:space="preserve">Owner: Financial Controller, supported by the accountants and external tax advisers. Jurisdiction: UK only. External tax advisers: </w:t>
      </w:r>
      <w:r>
        <w:rPr>
          <w:sz w:val="20"/>
          <w:highlight w:val="yellow"/>
        </w:rPr>
        <w:t xml:space="preserve">[firm]</w:t>
      </w:r>
      <w:r>
        <w:rPr>
          <w:sz w:val="20"/>
        </w:rPr>
        <w:t xml:space="preserve"> support </w:t>
      </w:r>
      <w:r>
        <w:rPr>
          <w:sz w:val="20"/>
          <w:highlight w:val="yellow"/>
        </w:rPr>
        <w:t xml:space="preserve">[scope, e.g. corporation tax computation and return]</w:t>
      </w:r>
      <w:r>
        <w:rPr>
          <w:sz w:val="20"/>
        </w:rPr>
        <w:t xml:space="preserve">. VAT is determined in the Cloud ERP and returns are submitted under Making Tax Digital directly from it. Payroll taxes are handled by the payroll bureau. Known pain points: </w:t>
      </w:r>
      <w:r>
        <w:rPr>
          <w:sz w:val="20"/>
          <w:highlight w:val="yellow"/>
        </w:rPr>
        <w:t xml:space="preserve">[e.g. late trial balance, provision built in Excel]</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Map obligations</w:t>
            </w:r>
          </w:p>
        </w:tc>
        <w:tc>
          <w:tcPr>
            <w:tcW w:type="dxa" w:w="1850"/>
            <w:vAlign w:val="center"/>
          </w:tcPr>
          <w:p>
            <w:pPr>
              <w:spacing w:after="0" w:before="0" w:line="240" w:lineRule="auto"/>
            </w:pPr>
            <w:r>
              <w:rPr>
                <w:color w:val="000000"/>
                <w:sz w:val="18"/>
              </w:rPr>
              <w:t xml:space="preserve">Accountants and tax advisers</w:t>
            </w:r>
          </w:p>
        </w:tc>
        <w:tc>
          <w:tcPr>
            <w:tcW w:type="dxa" w:w="4374"/>
            <w:vAlign w:val="center"/>
          </w:tcPr>
          <w:p>
            <w:pPr>
              <w:spacing w:after="0" w:before="0" w:line="240" w:lineRule="auto"/>
            </w:pPr>
            <w:r>
              <w:rPr>
                <w:color w:val="000000"/>
                <w:sz w:val="18"/>
              </w:rPr>
              <w:t xml:space="preserve">Confirm registrations, tax types, responsibilities and filing dates. Assess relevant changes in rules or business activities and update the compliance calendar.</w:t>
            </w:r>
          </w:p>
        </w:tc>
        <w:tc>
          <w:tcPr>
            <w:tcW w:type="dxa" w:w="2200"/>
            <w:vAlign w:val="center"/>
          </w:tcPr>
          <w:p>
            <w:pPr>
              <w:spacing w:after="0" w:before="0" w:line="240" w:lineRule="auto"/>
            </w:pPr>
            <w:r>
              <w:rPr>
                <w:color w:val="000000"/>
                <w:sz w:val="18"/>
              </w:rPr>
              <w:t xml:space="preserve">Compliance calendar </w:t>
            </w:r>
            <w:r>
              <w:rPr>
                <w:color w:val="000000"/>
                <w:sz w:val="18"/>
                <w:highlight w:val="yellow"/>
              </w:rPr>
              <w:t xml:space="preserve">[location]</w:t>
            </w:r>
          </w:p>
        </w:tc>
      </w:tr>
      <w:tr>
        <w:trPr>
          <w:cantSplit/>
        </w:trPr>
        <w:tc>
          <w:tcPr>
            <w:tcW w:type="dxa" w:w="1800"/>
            <w:vAlign w:val="center"/>
          </w:tcPr>
          <w:p>
            <w:pPr>
              <w:spacing w:after="0" w:before="0" w:line="240" w:lineRule="auto"/>
            </w:pPr>
            <w:r>
              <w:rPr>
                <w:b/>
                <w:color w:val="000000"/>
                <w:sz w:val="18"/>
              </w:rPr>
              <w:t xml:space="preserve">2  Gather and reconcile</w:t>
            </w:r>
          </w:p>
        </w:tc>
        <w:tc>
          <w:tcPr>
            <w:tcW w:type="dxa" w:w="1850"/>
            <w:vAlign w:val="center"/>
          </w:tcPr>
          <w:p>
            <w:pPr>
              <w:spacing w:after="0" w:before="0" w:line="240" w:lineRule="auto"/>
            </w:pPr>
            <w:r>
              <w:rPr>
                <w:color w:val="000000"/>
                <w:sz w:val="18"/>
              </w:rPr>
              <w:t xml:space="preserve">Accountants</w:t>
            </w:r>
          </w:p>
        </w:tc>
        <w:tc>
          <w:tcPr>
            <w:tcW w:type="dxa" w:w="4374"/>
            <w:vAlign w:val="center"/>
          </w:tcPr>
          <w:p>
            <w:pPr>
              <w:spacing w:after="0" w:before="0" w:line="240" w:lineRule="auto"/>
            </w:pPr>
            <w:r>
              <w:rPr>
                <w:color w:val="000000"/>
                <w:sz w:val="18"/>
              </w:rPr>
              <w:t xml:space="preserve">Collect ledger and transaction data, supporting documents and prior-period positions. Reconcile source totals and resolve gaps before preparing calculations.</w:t>
            </w:r>
          </w:p>
        </w:tc>
        <w:tc>
          <w:tcPr>
            <w:tcW w:type="dxa" w:w="2200"/>
            <w:vAlign w:val="center"/>
          </w:tcPr>
          <w:p>
            <w:pPr>
              <w:spacing w:after="0" w:before="0" w:line="240" w:lineRule="auto"/>
            </w:pPr>
            <w:r>
              <w:rPr>
                <w:color w:val="000000"/>
                <w:sz w:val="18"/>
              </w:rPr>
              <w:t xml:space="preserve">Cloud ERP</w:t>
            </w:r>
          </w:p>
        </w:tc>
      </w:tr>
      <w:tr>
        <w:trPr>
          <w:cantSplit/>
        </w:trPr>
        <w:tc>
          <w:tcPr>
            <w:tcW w:type="dxa" w:w="1800"/>
            <w:vAlign w:val="center"/>
          </w:tcPr>
          <w:p>
            <w:pPr>
              <w:spacing w:after="0" w:before="0" w:line="240" w:lineRule="auto"/>
            </w:pPr>
            <w:r>
              <w:rPr>
                <w:b/>
                <w:color w:val="000000"/>
                <w:sz w:val="18"/>
              </w:rPr>
              <w:t xml:space="preserve">3  Calculate and assess</w:t>
            </w:r>
          </w:p>
        </w:tc>
        <w:tc>
          <w:tcPr>
            <w:tcW w:type="dxa" w:w="1850"/>
            <w:vAlign w:val="center"/>
          </w:tcPr>
          <w:p>
            <w:pPr>
              <w:spacing w:after="0" w:before="0" w:line="240" w:lineRule="auto"/>
            </w:pPr>
            <w:r>
              <w:rPr>
                <w:color w:val="000000"/>
                <w:sz w:val="18"/>
              </w:rPr>
              <w:t xml:space="preserve">Accountants and tax advisers</w:t>
            </w:r>
          </w:p>
        </w:tc>
        <w:tc>
          <w:tcPr>
            <w:tcW w:type="dxa" w:w="4374"/>
            <w:vAlign w:val="center"/>
          </w:tcPr>
          <w:p>
            <w:pPr>
              <w:spacing w:after="0" w:before="0" w:line="240" w:lineRule="auto"/>
            </w:pPr>
            <w:r>
              <w:rPr>
                <w:color w:val="000000"/>
                <w:sz w:val="18"/>
              </w:rPr>
              <w:t xml:space="preserve">Prepare tax computations and accounting estimates; confirm VAT treatment of unusual transactions. Document assumptions, uncertain positions and the basis for material judgements.</w:t>
            </w:r>
          </w:p>
        </w:tc>
        <w:tc>
          <w:tcPr>
            <w:tcW w:type="dxa" w:w="2200"/>
            <w:vAlign w:val="center"/>
          </w:tcPr>
          <w:p>
            <w:pPr>
              <w:spacing w:after="0" w:before="0" w:line="240" w:lineRule="auto"/>
            </w:pPr>
            <w:r>
              <w:rPr>
                <w:color w:val="000000"/>
                <w:sz w:val="18"/>
              </w:rPr>
              <w:t xml:space="preserve">Cloud ERP for VAT; </w:t>
            </w:r>
            <w:r>
              <w:rPr>
                <w:color w:val="000000"/>
                <w:sz w:val="18"/>
                <w:highlight w:val="yellow"/>
              </w:rPr>
              <w:t xml:space="preserve">[provision workbook / adviser]</w:t>
            </w:r>
          </w:p>
        </w:tc>
      </w:tr>
      <w:tr>
        <w:trPr>
          <w:cantSplit/>
        </w:trPr>
        <w:tc>
          <w:tcPr>
            <w:tcW w:type="dxa" w:w="1800"/>
            <w:vAlign w:val="center"/>
          </w:tcPr>
          <w:p>
            <w:pPr>
              <w:spacing w:after="0" w:before="0" w:line="240" w:lineRule="auto"/>
            </w:pPr>
            <w:r>
              <w:rPr>
                <w:b/>
                <w:color w:val="000000"/>
                <w:sz w:val="18"/>
              </w:rPr>
              <w:t xml:space="preserve">4  Review and approve</w:t>
            </w:r>
          </w:p>
        </w:tc>
        <w:tc>
          <w:tcPr>
            <w:tcW w:type="dxa" w:w="1850"/>
            <w:vAlign w:val="center"/>
          </w:tcPr>
          <w:p>
            <w:pPr>
              <w:spacing w:after="0" w:before="0" w:line="240" w:lineRule="auto"/>
            </w:pPr>
            <w:r>
              <w:rPr>
                <w:color w:val="000000"/>
                <w:sz w:val="18"/>
              </w:rPr>
              <w:t xml:space="preserve">Financial Controller and CFO</w:t>
            </w:r>
          </w:p>
        </w:tc>
        <w:tc>
          <w:tcPr>
            <w:tcW w:type="dxa" w:w="4374"/>
            <w:vAlign w:val="center"/>
          </w:tcPr>
          <w:p>
            <w:pPr>
              <w:spacing w:after="0" w:before="0" w:line="240" w:lineRule="auto"/>
            </w:pPr>
            <w:r>
              <w:rPr>
                <w:color w:val="000000"/>
                <w:sz w:val="18"/>
              </w:rPr>
              <w:t xml:space="preserve">Review calculations, reconcile accounting and tax differences and obtain specialist advice for complex matters. Resolve exceptions before approving filings and payments.</w:t>
            </w:r>
          </w:p>
        </w:tc>
        <w:tc>
          <w:tcPr>
            <w:tcW w:type="dxa" w:w="2200"/>
            <w:vAlign w:val="center"/>
          </w:tcPr>
          <w:p>
            <w:pPr>
              <w:spacing w:after="0" w:before="0" w:line="240" w:lineRule="auto"/>
            </w:pPr>
            <w:r>
              <w:rPr>
                <w:color w:val="000000"/>
                <w:sz w:val="18"/>
              </w:rPr>
              <w:t xml:space="preserve">Cloud ERP; </w:t>
            </w:r>
            <w:r>
              <w:rPr>
                <w:color w:val="000000"/>
                <w:sz w:val="18"/>
                <w:highlight w:val="yellow"/>
              </w:rPr>
              <w:t xml:space="preserve">[adviser]</w:t>
            </w:r>
          </w:p>
        </w:tc>
      </w:tr>
      <w:tr>
        <w:trPr>
          <w:cantSplit/>
        </w:trPr>
        <w:tc>
          <w:tcPr>
            <w:tcW w:type="dxa" w:w="1800"/>
            <w:vAlign w:val="center"/>
          </w:tcPr>
          <w:p>
            <w:pPr>
              <w:spacing w:after="0" w:before="0" w:line="240" w:lineRule="auto"/>
            </w:pPr>
            <w:r>
              <w:rPr>
                <w:b/>
                <w:color w:val="000000"/>
                <w:sz w:val="18"/>
              </w:rPr>
              <w:t xml:space="preserve">5  File and pay</w:t>
            </w:r>
          </w:p>
        </w:tc>
        <w:tc>
          <w:tcPr>
            <w:tcW w:type="dxa" w:w="1850"/>
            <w:vAlign w:val="center"/>
          </w:tcPr>
          <w:p>
            <w:pPr>
              <w:spacing w:after="0" w:before="0" w:line="240" w:lineRule="auto"/>
            </w:pPr>
            <w:r>
              <w:rPr>
                <w:color w:val="000000"/>
                <w:sz w:val="18"/>
              </w:rPr>
              <w:t xml:space="preserve">Financial Controller (VAT under MTD); payroll bureau (PAYE)</w:t>
            </w:r>
          </w:p>
        </w:tc>
        <w:tc>
          <w:tcPr>
            <w:tcW w:type="dxa" w:w="4374"/>
            <w:vAlign w:val="center"/>
          </w:tcPr>
          <w:p>
            <w:pPr>
              <w:spacing w:after="0" w:before="0" w:line="240" w:lineRule="auto"/>
            </w:pPr>
            <w:r>
              <w:rPr>
                <w:color w:val="000000"/>
                <w:sz w:val="18"/>
              </w:rPr>
              <w:t xml:space="preserve">Submit approved returns and arrange payments by the applicable dates. Retain submission receipts, payment evidence and the final supporting calculation pack.</w:t>
            </w:r>
          </w:p>
        </w:tc>
        <w:tc>
          <w:tcPr>
            <w:tcW w:type="dxa" w:w="2200"/>
            <w:vAlign w:val="center"/>
          </w:tcPr>
          <w:p>
            <w:pPr>
              <w:spacing w:after="0" w:before="0" w:line="240" w:lineRule="auto"/>
            </w:pPr>
            <w:r>
              <w:rPr>
                <w:color w:val="000000"/>
                <w:sz w:val="18"/>
              </w:rPr>
              <w:t xml:space="preserve">MTD returns direct from Cloud ERP; HMRC online; bank portal payment</w:t>
            </w:r>
          </w:p>
        </w:tc>
      </w:tr>
      <w:tr>
        <w:trPr>
          <w:cantSplit/>
        </w:trPr>
        <w:tc>
          <w:tcPr>
            <w:tcW w:type="dxa" w:w="1800"/>
            <w:vAlign w:val="center"/>
          </w:tcPr>
          <w:p>
            <w:pPr>
              <w:spacing w:after="0" w:before="0" w:line="240" w:lineRule="auto"/>
            </w:pPr>
            <w:r>
              <w:rPr>
                <w:b/>
                <w:color w:val="000000"/>
                <w:sz w:val="18"/>
              </w:rPr>
              <w:t xml:space="preserve">6  Reconcile and maintain</w:t>
            </w:r>
          </w:p>
        </w:tc>
        <w:tc>
          <w:tcPr>
            <w:tcW w:type="dxa" w:w="1850"/>
            <w:vAlign w:val="center"/>
          </w:tcPr>
          <w:p>
            <w:pPr>
              <w:spacing w:after="0" w:before="0" w:line="240" w:lineRule="auto"/>
            </w:pPr>
            <w:r>
              <w:rPr>
                <w:color w:val="000000"/>
                <w:sz w:val="18"/>
              </w:rPr>
              <w:t xml:space="preserve">Accountants and Financial Controller</w:t>
            </w:r>
          </w:p>
        </w:tc>
        <w:tc>
          <w:tcPr>
            <w:tcW w:type="dxa" w:w="4374"/>
            <w:vAlign w:val="center"/>
          </w:tcPr>
          <w:p>
            <w:pPr>
              <w:spacing w:after="0" w:before="0" w:line="240" w:lineRule="auto"/>
            </w:pPr>
            <w:r>
              <w:rPr>
                <w:color w:val="000000"/>
                <w:sz w:val="18"/>
              </w:rPr>
              <w:t xml:space="preserve">Reconcile tax balances, respond to enquiries and track amendments or disputes. Feed revised assumptions into forecasts and flag tax implications of planned transactions.</w:t>
            </w:r>
          </w:p>
        </w:tc>
        <w:tc>
          <w:tcPr>
            <w:tcW w:type="dxa" w:w="2200"/>
            <w:vAlign w:val="center"/>
          </w:tcPr>
          <w:p>
            <w:pPr>
              <w:spacing w:after="0" w:before="0" w:line="240" w:lineRule="auto"/>
            </w:pPr>
            <w:r>
              <w:rPr>
                <w:color w:val="000000"/>
                <w:sz w:val="18"/>
              </w:rPr>
              <w:t xml:space="preserve">Cloud ERP tax accounts; enquiry log on SharePoint</w:t>
            </w:r>
          </w:p>
        </w:tc>
      </w:tr>
    </w:tbl>
    <w:p>
      <w:pPr>
        <w:spacing w:after="80"/>
      </w:pPr>
      <w:r>
        <w:rPr>
          <w:b/>
          <w:sz w:val="20"/>
        </w:rPr>
        <w:t xml:space="preserve">Controls and success measures: </w:t>
      </w:r>
      <w:r>
        <w:rPr>
          <w:sz w:val="20"/>
        </w:rPr>
        <w:t xml:space="preserve">Maintain an owned compliance calendar, documented review and evidence retention. Track on-time filings and payments, unreconciled balances and open enquiries. Update local requirements before relying on a prior-period treatment.</w:t>
      </w:r>
    </w:p>
    <w:p>
      <w:pPr>
        <w:pStyle w:val="Title"/>
        <w:pageBreakBefore/>
      </w:pPr>
      <w:r>
        <w:t>CFO office process guide</w:t>
      </w:r>
    </w:p>
    <w:p>
      <w:pPr>
        <w:pStyle w:val="Heading1"/>
      </w:pPr>
      <w:r>
        <w:t xml:space="preserve">08  Financial controls, risk and compliance</w:t>
      </w:r>
    </w:p>
    <w:p>
      <w:pPr>
        <w:spacing w:after="100"/>
      </w:pPr>
      <w:r>
        <w:rPr>
          <w:sz w:val="20"/>
        </w:rPr>
        <w:t xml:space="preserve">Provide reasonable assurance that financial records are reliable, assets are protected and approved policies are followed. Management identifies risks and operates controls; independent assurance evaluates whether the framework works. The process also tracks issues until remediation is demonstrably effective.</w:t>
      </w:r>
    </w:p>
    <w:p>
      <w:pPr>
        <w:spacing w:after="80"/>
      </w:pPr>
      <w:r>
        <w:rPr>
          <w:b/>
          <w:sz w:val="20"/>
        </w:rPr>
        <w:t xml:space="preserve">Ownership and participants: </w:t>
      </w:r>
      <w:r>
        <w:rPr>
          <w:sz w:val="20"/>
        </w:rPr>
        <w:t xml:space="preserve">Financial Controller owns the finance control framework, with CFO sponsorship. Process owners operate controls and the Finance Manager collects evidence; the Financial Controller tests key controls independently of the people who run them. There is no internal audit function </w:t>
      </w:r>
      <w:r>
        <w:rPr>
          <w:sz w:val="20"/>
          <w:highlight w:val="yellow"/>
        </w:rPr>
        <w:t xml:space="preserve">[confirm]</w:t>
      </w:r>
      <w:r>
        <w:rPr>
          <w:sz w:val="20"/>
        </w:rPr>
        <w:t xml:space="preserve">.</w:t>
      </w:r>
    </w:p>
    <w:p>
      <w:pPr>
        <w:spacing w:after="80"/>
      </w:pPr>
      <w:r>
        <w:rPr>
          <w:b/>
          <w:sz w:val="20"/>
        </w:rPr>
        <w:t xml:space="preserve">Cadence today: </w:t>
      </w:r>
      <w:r>
        <w:rPr>
          <w:sz w:val="20"/>
        </w:rPr>
        <w:t xml:space="preserve">Controls operate per the control register in </w:t>
      </w:r>
      <w:r>
        <w:rPr>
          <w:sz w:val="20"/>
          <w:highlight w:val="yellow"/>
        </w:rPr>
        <w:t xml:space="preserve">[location]</w:t>
      </w:r>
      <w:r>
        <w:rPr>
          <w:sz w:val="20"/>
        </w:rPr>
        <w:t xml:space="preserve">; management testing </w:t>
      </w:r>
      <w:r>
        <w:rPr>
          <w:sz w:val="20"/>
          <w:highlight w:val="yellow"/>
        </w:rPr>
        <w:t xml:space="preserve">[quarterly / annually]</w:t>
      </w:r>
      <w:r>
        <w:rPr>
          <w:sz w:val="20"/>
        </w:rPr>
        <w:t xml:space="preserve">; issue follow-up </w:t>
      </w:r>
      <w:r>
        <w:rPr>
          <w:sz w:val="20"/>
          <w:highlight w:val="yellow"/>
        </w:rPr>
        <w:t xml:space="preserve">[monthly]</w:t>
      </w:r>
      <w:r>
        <w:rPr>
          <w:sz w:val="20"/>
        </w:rPr>
        <w:t xml:space="preserve">.</w:t>
      </w:r>
    </w:p>
    <w:p>
      <w:pPr>
        <w:spacing w:after="80"/>
      </w:pPr>
      <w:r>
        <w:rPr>
          <w:b/>
          <w:sz w:val="20"/>
        </w:rPr>
        <w:t xml:space="preserve">Key inputs: </w:t>
      </w:r>
      <w:r>
        <w:rPr>
          <w:sz w:val="20"/>
        </w:rPr>
        <w:t xml:space="preserve">Process maps; financial and operational risk assessments; approval policies; system access records; transaction and reconciliation evidence; incidents; audit findings; applicable obligations and changes to systems or organisation.</w:t>
      </w:r>
    </w:p>
    <w:p>
      <w:pPr>
        <w:spacing w:after="80"/>
      </w:pPr>
      <w:r>
        <w:rPr>
          <w:b/>
          <w:sz w:val="20"/>
        </w:rPr>
        <w:t xml:space="preserve">Key outputs: </w:t>
      </w:r>
      <w:r>
        <w:rPr>
          <w:sz w:val="20"/>
        </w:rPr>
        <w:t xml:space="preserve">Risk and control register; documented responsibilities; approval and access rules; control evidence; test findings; remediation plans and closure evidence; assurance and exception reports for leadership and the audit committee.</w:t>
      </w:r>
    </w:p>
    <w:p>
      <w:pPr>
        <w:spacing w:after="80"/>
      </w:pPr>
      <w:r>
        <w:rPr>
          <w:b/>
          <w:sz w:val="20"/>
        </w:rPr>
        <w:t xml:space="preserve">Dependencies and handoffs: </w:t>
      </w:r>
      <w:r>
        <w:rPr>
          <w:sz w:val="20"/>
        </w:rPr>
        <w:t xml:space="preserve">Depends on evidence and accountable owners across all finance processes, plus IT access and change controls. Changes in systems, people or obligations trigger reassessment. Findings drive process repairs and inform financial reporting (3) and governance reporting (10).</w:t>
      </w:r>
    </w:p>
    <w:p>
      <w:pPr>
        <w:spacing w:after="80"/>
      </w:pPr>
      <w:r>
        <w:rPr>
          <w:b/>
          <w:sz w:val="20"/>
        </w:rPr>
        <w:t xml:space="preserve">Current practice and workarounds: </w:t>
      </w:r>
      <w:r>
        <w:rPr>
          <w:sz w:val="20"/>
        </w:rPr>
        <w:t xml:space="preserve">Owner: Financial Controller, with the Finance Manager collecting evidence. Key financial controls: </w:t>
      </w:r>
      <w:r>
        <w:rPr>
          <w:sz w:val="20"/>
          <w:highlight w:val="yellow"/>
        </w:rPr>
        <w:t xml:space="preserve">[__]</w:t>
      </w:r>
      <w:r>
        <w:rPr>
          <w:sz w:val="20"/>
        </w:rPr>
        <w:t xml:space="preserve">. Management testing is performed by </w:t>
      </w:r>
      <w:r>
        <w:rPr>
          <w:sz w:val="20"/>
          <w:highlight w:val="yellow"/>
        </w:rPr>
        <w:t xml:space="preserve">[team / external provider]</w:t>
      </w:r>
      <w:r>
        <w:rPr>
          <w:sz w:val="20"/>
        </w:rPr>
        <w:t xml:space="preserve">. In scope of the UK Corporate Governance Code material controls declaration (Provision 29): </w:t>
      </w:r>
      <w:r>
        <w:rPr>
          <w:sz w:val="20"/>
          <w:highlight w:val="yellow"/>
        </w:rPr>
        <w:t xml:space="preserve">[yes / no]</w:t>
      </w:r>
      <w:r>
        <w:rPr>
          <w:sz w:val="20"/>
        </w:rPr>
        <w:t xml:space="preserve">. Known pain points: </w:t>
      </w:r>
      <w:r>
        <w:rPr>
          <w:sz w:val="20"/>
          <w:highlight w:val="yellow"/>
        </w:rPr>
        <w:t xml:space="preserve">[e.g. chasing evidence, access reviews in spreadsheets]</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Assess risks</w:t>
            </w:r>
          </w:p>
        </w:tc>
        <w:tc>
          <w:tcPr>
            <w:tcW w:type="dxa" w:w="1850"/>
            <w:vAlign w:val="center"/>
          </w:tcPr>
          <w:p>
            <w:pPr>
              <w:spacing w:after="0" w:before="0" w:line="240" w:lineRule="auto"/>
            </w:pPr>
            <w:r>
              <w:rPr>
                <w:color w:val="000000"/>
                <w:sz w:val="18"/>
              </w:rPr>
              <w:t xml:space="preserve">Financial Controller and CFO</w:t>
            </w:r>
          </w:p>
        </w:tc>
        <w:tc>
          <w:tcPr>
            <w:tcW w:type="dxa" w:w="4374"/>
            <w:vAlign w:val="center"/>
          </w:tcPr>
          <w:p>
            <w:pPr>
              <w:spacing w:after="0" w:before="0" w:line="240" w:lineRule="auto"/>
            </w:pPr>
            <w:r>
              <w:rPr>
                <w:color w:val="000000"/>
                <w:sz w:val="18"/>
              </w:rPr>
              <w:t xml:space="preserve">Identify what could go wrong, its impact and likelihood. Map risks to accounts, transactions, systems and relevant obligations; prioritise material exposures.</w:t>
            </w:r>
          </w:p>
        </w:tc>
        <w:tc>
          <w:tcPr>
            <w:tcW w:type="dxa" w:w="2200"/>
            <w:vAlign w:val="center"/>
          </w:tcPr>
          <w:p>
            <w:pPr>
              <w:spacing w:after="0" w:before="0" w:line="240" w:lineRule="auto"/>
            </w:pPr>
            <w:r>
              <w:rPr>
                <w:color w:val="000000"/>
                <w:sz w:val="18"/>
                <w:highlight w:val="yellow"/>
              </w:rPr>
              <w:t xml:space="preserve">[Risk register: SharePoint / Excel]</w:t>
            </w:r>
          </w:p>
        </w:tc>
      </w:tr>
      <w:tr>
        <w:trPr>
          <w:cantSplit/>
        </w:trPr>
        <w:tc>
          <w:tcPr>
            <w:tcW w:type="dxa" w:w="1800"/>
            <w:vAlign w:val="center"/>
          </w:tcPr>
          <w:p>
            <w:pPr>
              <w:spacing w:after="0" w:before="0" w:line="240" w:lineRule="auto"/>
            </w:pPr>
            <w:r>
              <w:rPr>
                <w:b/>
                <w:color w:val="000000"/>
                <w:sz w:val="18"/>
              </w:rPr>
              <w:t xml:space="preserve">2  Design controls</w:t>
            </w:r>
          </w:p>
        </w:tc>
        <w:tc>
          <w:tcPr>
            <w:tcW w:type="dxa" w:w="1850"/>
            <w:vAlign w:val="center"/>
          </w:tcPr>
          <w:p>
            <w:pPr>
              <w:spacing w:after="0" w:before="0" w:line="240" w:lineRule="auto"/>
            </w:pPr>
            <w:r>
              <w:rPr>
                <w:color w:val="000000"/>
                <w:sz w:val="18"/>
              </w:rPr>
              <w:t xml:space="preserve">Process owners and Finance Manager</w:t>
            </w:r>
          </w:p>
        </w:tc>
        <w:tc>
          <w:tcPr>
            <w:tcW w:type="dxa" w:w="4374"/>
            <w:vAlign w:val="center"/>
          </w:tcPr>
          <w:p>
            <w:pPr>
              <w:spacing w:after="0" w:before="0" w:line="240" w:lineRule="auto"/>
            </w:pPr>
            <w:r>
              <w:rPr>
                <w:color w:val="000000"/>
                <w:sz w:val="18"/>
              </w:rPr>
              <w:t xml:space="preserve">Define preventive and detective controls, frequency, evidence and review responsibilities. Establish approval limits, access restrictions and separation of incompatible duties.</w:t>
            </w:r>
          </w:p>
        </w:tc>
        <w:tc>
          <w:tcPr>
            <w:tcW w:type="dxa" w:w="2200"/>
            <w:vAlign w:val="center"/>
          </w:tcPr>
          <w:p>
            <w:pPr>
              <w:spacing w:after="0" w:before="0" w:line="240" w:lineRule="auto"/>
            </w:pPr>
            <w:r>
              <w:rPr>
                <w:color w:val="000000"/>
                <w:sz w:val="18"/>
              </w:rPr>
              <w:t xml:space="preserve">Control register </w:t>
            </w:r>
            <w:r>
              <w:rPr>
                <w:color w:val="000000"/>
                <w:sz w:val="18"/>
                <w:highlight w:val="yellow"/>
              </w:rPr>
              <w:t xml:space="preserve">[location]</w:t>
            </w:r>
            <w:r>
              <w:rPr>
                <w:color w:val="000000"/>
                <w:sz w:val="18"/>
              </w:rPr>
              <w:t xml:space="preserve">; Cloud ERP user roles</w:t>
            </w:r>
          </w:p>
        </w:tc>
      </w:tr>
      <w:tr>
        <w:trPr>
          <w:cantSplit/>
        </w:trPr>
        <w:tc>
          <w:tcPr>
            <w:tcW w:type="dxa" w:w="1800"/>
            <w:vAlign w:val="center"/>
          </w:tcPr>
          <w:p>
            <w:pPr>
              <w:spacing w:after="0" w:before="0" w:line="240" w:lineRule="auto"/>
            </w:pPr>
            <w:r>
              <w:rPr>
                <w:b/>
                <w:color w:val="000000"/>
                <w:sz w:val="18"/>
              </w:rPr>
              <w:t xml:space="preserve">3  Operate and evidence</w:t>
            </w:r>
          </w:p>
        </w:tc>
        <w:tc>
          <w:tcPr>
            <w:tcW w:type="dxa" w:w="1850"/>
            <w:vAlign w:val="center"/>
          </w:tcPr>
          <w:p>
            <w:pPr>
              <w:spacing w:after="0" w:before="0" w:line="240" w:lineRule="auto"/>
            </w:pPr>
            <w:r>
              <w:rPr>
                <w:color w:val="000000"/>
                <w:sz w:val="18"/>
              </w:rPr>
              <w:t xml:space="preserve">Control operators; Finance Manager reviews</w:t>
            </w:r>
          </w:p>
        </w:tc>
        <w:tc>
          <w:tcPr>
            <w:tcW w:type="dxa" w:w="4374"/>
            <w:vAlign w:val="center"/>
          </w:tcPr>
          <w:p>
            <w:pPr>
              <w:spacing w:after="0" w:before="0" w:line="240" w:lineRule="auto"/>
            </w:pPr>
            <w:r>
              <w:rPr>
                <w:color w:val="000000"/>
                <w:sz w:val="18"/>
              </w:rPr>
              <w:t xml:space="preserve">Perform approvals, reconciliations and access reviews on schedule. Retain evidence, record exceptions and escalate failures through defined reporting channels.</w:t>
            </w:r>
          </w:p>
        </w:tc>
        <w:tc>
          <w:tcPr>
            <w:tcW w:type="dxa" w:w="2200"/>
            <w:vAlign w:val="center"/>
          </w:tcPr>
          <w:p>
            <w:pPr>
              <w:spacing w:after="0" w:before="0" w:line="240" w:lineRule="auto"/>
            </w:pPr>
            <w:r>
              <w:rPr>
                <w:color w:val="000000"/>
                <w:sz w:val="18"/>
              </w:rPr>
              <w:t xml:space="preserve">Evidence on SharePoint</w:t>
            </w:r>
          </w:p>
        </w:tc>
      </w:tr>
      <w:tr>
        <w:trPr>
          <w:cantSplit/>
        </w:trPr>
        <w:tc>
          <w:tcPr>
            <w:tcW w:type="dxa" w:w="1800"/>
            <w:vAlign w:val="center"/>
          </w:tcPr>
          <w:p>
            <w:pPr>
              <w:spacing w:after="0" w:before="0" w:line="240" w:lineRule="auto"/>
            </w:pPr>
            <w:r>
              <w:rPr>
                <w:b/>
                <w:color w:val="000000"/>
                <w:sz w:val="18"/>
              </w:rPr>
              <w:t xml:space="preserve">4  Test effectiveness</w:t>
            </w:r>
          </w:p>
        </w:tc>
        <w:tc>
          <w:tcPr>
            <w:tcW w:type="dxa" w:w="1850"/>
            <w:vAlign w:val="center"/>
          </w:tcPr>
          <w:p>
            <w:pPr>
              <w:spacing w:after="0" w:before="0" w:line="240" w:lineRule="auto"/>
            </w:pPr>
            <w:r>
              <w:rPr>
                <w:color w:val="000000"/>
                <w:sz w:val="18"/>
              </w:rPr>
              <w:t xml:space="preserve">Financial Controller, independent of operators</w:t>
            </w:r>
          </w:p>
        </w:tc>
        <w:tc>
          <w:tcPr>
            <w:tcW w:type="dxa" w:w="4374"/>
            <w:vAlign w:val="center"/>
          </w:tcPr>
          <w:p>
            <w:pPr>
              <w:spacing w:after="0" w:before="0" w:line="240" w:lineRule="auto"/>
            </w:pPr>
            <w:r>
              <w:rPr>
                <w:color w:val="000000"/>
                <w:sz w:val="18"/>
              </w:rPr>
              <w:t xml:space="preserve">Evaluate design and sample operation against documented criteria. The Financial Controller tests independently of the people who run the controls; the external auditors provide year-end assurance.</w:t>
            </w:r>
          </w:p>
        </w:tc>
        <w:tc>
          <w:tcPr>
            <w:tcW w:type="dxa" w:w="2200"/>
            <w:vAlign w:val="center"/>
          </w:tcPr>
          <w:p>
            <w:pPr>
              <w:spacing w:after="0" w:before="0" w:line="240" w:lineRule="auto"/>
            </w:pPr>
            <w:r>
              <w:rPr>
                <w:color w:val="000000"/>
                <w:sz w:val="18"/>
              </w:rPr>
              <w:t xml:space="preserve">Testing workpapers on SharePoint</w:t>
            </w:r>
          </w:p>
        </w:tc>
      </w:tr>
      <w:tr>
        <w:trPr>
          <w:cantSplit/>
        </w:trPr>
        <w:tc>
          <w:tcPr>
            <w:tcW w:type="dxa" w:w="1800"/>
            <w:vAlign w:val="center"/>
          </w:tcPr>
          <w:p>
            <w:pPr>
              <w:spacing w:after="0" w:before="0" w:line="240" w:lineRule="auto"/>
            </w:pPr>
            <w:r>
              <w:rPr>
                <w:b/>
                <w:color w:val="000000"/>
                <w:sz w:val="18"/>
              </w:rPr>
              <w:t xml:space="preserve">5  Remediate and retest</w:t>
            </w:r>
          </w:p>
        </w:tc>
        <w:tc>
          <w:tcPr>
            <w:tcW w:type="dxa" w:w="1850"/>
            <w:vAlign w:val="center"/>
          </w:tcPr>
          <w:p>
            <w:pPr>
              <w:spacing w:after="0" w:before="0" w:line="240" w:lineRule="auto"/>
            </w:pPr>
            <w:r>
              <w:rPr>
                <w:color w:val="000000"/>
                <w:sz w:val="18"/>
              </w:rPr>
              <w:t xml:space="preserve">Issue owners and Finance Manager</w:t>
            </w:r>
          </w:p>
        </w:tc>
        <w:tc>
          <w:tcPr>
            <w:tcW w:type="dxa" w:w="4374"/>
            <w:vAlign w:val="center"/>
          </w:tcPr>
          <w:p>
            <w:pPr>
              <w:spacing w:after="0" w:before="0" w:line="240" w:lineRule="auto"/>
            </w:pPr>
            <w:r>
              <w:rPr>
                <w:color w:val="000000"/>
                <w:sz w:val="18"/>
              </w:rPr>
              <w:t xml:space="preserve">Assess severity and root cause, agree actions and deadlines, and implement fixes. Retest effectiveness; keep the issue open if evidence does not support closure.</w:t>
            </w:r>
          </w:p>
        </w:tc>
        <w:tc>
          <w:tcPr>
            <w:tcW w:type="dxa" w:w="2200"/>
            <w:vAlign w:val="center"/>
          </w:tcPr>
          <w:p>
            <w:pPr>
              <w:spacing w:after="0" w:before="0" w:line="240" w:lineRule="auto"/>
            </w:pPr>
            <w:r>
              <w:rPr>
                <w:color w:val="000000"/>
                <w:sz w:val="18"/>
              </w:rPr>
              <w:t xml:space="preserve">Issue log </w:t>
            </w:r>
            <w:r>
              <w:rPr>
                <w:color w:val="000000"/>
                <w:sz w:val="18"/>
                <w:highlight w:val="yellow"/>
              </w:rPr>
              <w:t xml:space="preserve">[SharePoint / Excel]</w:t>
            </w:r>
          </w:p>
        </w:tc>
      </w:tr>
      <w:tr>
        <w:trPr>
          <w:cantSplit/>
        </w:trPr>
        <w:tc>
          <w:tcPr>
            <w:tcW w:type="dxa" w:w="1800"/>
            <w:vAlign w:val="center"/>
          </w:tcPr>
          <w:p>
            <w:pPr>
              <w:spacing w:after="0" w:before="0" w:line="240" w:lineRule="auto"/>
            </w:pPr>
            <w:r>
              <w:rPr>
                <w:b/>
                <w:color w:val="000000"/>
                <w:sz w:val="18"/>
              </w:rPr>
              <w:t xml:space="preserve">6  Report and refresh</w:t>
            </w:r>
          </w:p>
        </w:tc>
        <w:tc>
          <w:tcPr>
            <w:tcW w:type="dxa" w:w="1850"/>
            <w:vAlign w:val="center"/>
          </w:tcPr>
          <w:p>
            <w:pPr>
              <w:spacing w:after="0" w:before="0" w:line="240" w:lineRule="auto"/>
            </w:pPr>
            <w:r>
              <w:rPr>
                <w:color w:val="000000"/>
                <w:sz w:val="18"/>
              </w:rPr>
              <w:t xml:space="preserve">CFO and board</w:t>
            </w:r>
          </w:p>
        </w:tc>
        <w:tc>
          <w:tcPr>
            <w:tcW w:type="dxa" w:w="4374"/>
            <w:vAlign w:val="center"/>
          </w:tcPr>
          <w:p>
            <w:pPr>
              <w:spacing w:after="0" w:before="0" w:line="240" w:lineRule="auto"/>
            </w:pPr>
            <w:r>
              <w:rPr>
                <w:color w:val="000000"/>
                <w:sz w:val="18"/>
              </w:rPr>
              <w:t xml:space="preserve">Review significant findings, overdue actions and accepted residual risks. Update controls for business changes and direct further assurance where exposure remains high.</w:t>
            </w:r>
          </w:p>
        </w:tc>
        <w:tc>
          <w:tcPr>
            <w:tcW w:type="dxa" w:w="2200"/>
            <w:vAlign w:val="center"/>
          </w:tcPr>
          <w:p>
            <w:pPr>
              <w:spacing w:after="0" w:before="0" w:line="240" w:lineRule="auto"/>
            </w:pPr>
            <w:r>
              <w:rPr>
                <w:color w:val="000000"/>
                <w:sz w:val="18"/>
                <w:highlight w:val="yellow"/>
              </w:rPr>
              <w:t xml:space="preserve">[Board portal / SharePoint]</w:t>
            </w:r>
          </w:p>
        </w:tc>
      </w:tr>
    </w:tbl>
    <w:p>
      <w:pPr>
        <w:spacing w:after="80"/>
      </w:pPr>
      <w:r>
        <w:rPr>
          <w:b/>
          <w:sz w:val="20"/>
        </w:rPr>
        <w:t xml:space="preserve">Controls and success measures: </w:t>
      </w:r>
      <w:r>
        <w:rPr>
          <w:sz w:val="20"/>
        </w:rPr>
        <w:t xml:space="preserve">Ensure reviewers have sufficient independence and issue closure requires evidence. Track failed or missed controls, repeat findings and overdue remediation. Escalate suspected fraud or material failures through established investigation channels.</w:t>
      </w:r>
    </w:p>
    <w:p>
      <w:pPr>
        <w:pStyle w:val="Title"/>
        <w:pageBreakBefore/>
      </w:pPr>
      <w:r>
        <w:t>CFO office process guide</w:t>
      </w:r>
    </w:p>
    <w:p>
      <w:pPr>
        <w:pStyle w:val="Heading1"/>
      </w:pPr>
      <w:r>
        <w:t>09  Capital allocation and transactions</w:t>
      </w:r>
    </w:p>
    <w:p>
      <w:pPr>
        <w:spacing w:after="100"/>
      </w:pPr>
      <w:r>
        <w:rPr>
          <w:sz w:val="20"/>
        </w:rPr>
        <w:t xml:space="preserve">Direct scarce capital towards investments that support strategy and offer acceptable returns and risks. The process covers capital expenditure and major initiatives, with additional work for acquisitions, disposals or fundraising. Approved projects remain accountable for delivery and realised benefits.</w:t>
      </w:r>
    </w:p>
    <w:p>
      <w:pPr>
        <w:spacing w:after="80"/>
      </w:pPr>
      <w:r>
        <w:rPr>
          <w:b/>
          <w:sz w:val="20"/>
        </w:rPr>
        <w:t xml:space="preserve">Ownership and participants: </w:t>
      </w:r>
      <w:r>
        <w:rPr>
          <w:sz w:val="20"/>
        </w:rPr>
        <w:t xml:space="preserve">CFO leads financial evaluation, with the FP&amp;A Manager. Business sponsors own proposals and benefits; tax advisers and legal contribute where needed. The board approves within delegated authority.</w:t>
      </w:r>
    </w:p>
    <w:p>
      <w:pPr>
        <w:spacing w:after="80"/>
      </w:pPr>
      <w:r>
        <w:rPr>
          <w:b/>
          <w:sz w:val="20"/>
        </w:rPr>
        <w:t xml:space="preserve">Cadence today: </w:t>
      </w:r>
      <w:r>
        <w:rPr>
          <w:sz w:val="20"/>
        </w:rPr>
        <w:t xml:space="preserve">Capital budget set in </w:t>
      </w:r>
      <w:r>
        <w:rPr>
          <w:sz w:val="20"/>
          <w:highlight w:val="yellow"/>
        </w:rPr>
        <w:t xml:space="preserve">[month]</w:t>
      </w:r>
      <w:r>
        <w:rPr>
          <w:sz w:val="20"/>
        </w:rPr>
        <w:t xml:space="preserve">; investment committee meets </w:t>
      </w:r>
      <w:r>
        <w:rPr>
          <w:sz w:val="20"/>
          <w:highlight w:val="yellow"/>
        </w:rPr>
        <w:t xml:space="preserve">[frequency]</w:t>
      </w:r>
      <w:r>
        <w:rPr>
          <w:sz w:val="20"/>
        </w:rPr>
        <w:t xml:space="preserve">; post-investment reviews at </w:t>
      </w:r>
      <w:r>
        <w:rPr>
          <w:sz w:val="20"/>
          <w:highlight w:val="yellow"/>
        </w:rPr>
        <w:t xml:space="preserve">[__]</w:t>
      </w:r>
      <w:r>
        <w:rPr>
          <w:sz w:val="20"/>
        </w:rPr>
        <w:t xml:space="preserve"> months.</w:t>
      </w:r>
    </w:p>
    <w:p>
      <w:pPr>
        <w:spacing w:after="80"/>
      </w:pPr>
      <w:r>
        <w:rPr>
          <w:b/>
          <w:sz w:val="20"/>
        </w:rPr>
        <w:t xml:space="preserve">Key inputs: </w:t>
      </w:r>
      <w:r>
        <w:rPr>
          <w:sz w:val="20"/>
        </w:rPr>
        <w:t xml:space="preserve">Strategic priorities; business cases; demand and cost assumptions; forecast cash flows; funding capacity; project plans; valuations; diligence findings; transaction terms; risks, dependencies and existing capital commitments.</w:t>
      </w:r>
    </w:p>
    <w:p>
      <w:pPr>
        <w:spacing w:after="80"/>
      </w:pPr>
      <w:r>
        <w:rPr>
          <w:b/>
          <w:sz w:val="20"/>
        </w:rPr>
        <w:t xml:space="preserve">Key outputs: </w:t>
      </w:r>
      <w:r>
        <w:rPr>
          <w:sz w:val="20"/>
        </w:rPr>
        <w:t xml:space="preserve">Ranked investment portfolio; approved, deferred or rejected proposals; funding decisions; investment or transaction terms; approval record; execution and integration plans; benefits baselines and post-investment findings.</w:t>
      </w:r>
    </w:p>
    <w:p>
      <w:pPr>
        <w:spacing w:after="80"/>
      </w:pPr>
      <w:r>
        <w:rPr>
          <w:b/>
          <w:sz w:val="20"/>
        </w:rPr>
        <w:t xml:space="preserve">Dependencies and handoffs: </w:t>
      </w:r>
      <w:r>
        <w:rPr>
          <w:sz w:val="20"/>
        </w:rPr>
        <w:t xml:space="preserve">Requires planning assumptions (1), performance evidence (2), treasury funding capacity (6), tax analysis (7) and legal and operational diligence. Approved commitments update plans (1), payments (5 and 6), accounting (3) and board reporting (10).</w:t>
      </w:r>
    </w:p>
    <w:p>
      <w:pPr>
        <w:spacing w:after="80"/>
      </w:pPr>
      <w:r>
        <w:rPr>
          <w:b/>
          <w:sz w:val="20"/>
        </w:rPr>
        <w:t xml:space="preserve">Current practice and workarounds: </w:t>
      </w:r>
      <w:r>
        <w:rPr>
          <w:sz w:val="20"/>
        </w:rPr>
        <w:t xml:space="preserve">Owner: CFO, with the FP&amp;A Manager. Approval thresholds: </w:t>
      </w:r>
      <w:r>
        <w:rPr>
          <w:sz w:val="20"/>
          <w:highlight w:val="yellow"/>
        </w:rPr>
        <w:t xml:space="preserve">[£__ committee; £__ board]</w:t>
      </w:r>
      <w:r>
        <w:rPr>
          <w:sz w:val="20"/>
        </w:rPr>
        <w:t xml:space="preserve">. Business cases follow </w:t>
      </w:r>
      <w:r>
        <w:rPr>
          <w:sz w:val="20"/>
          <w:highlight w:val="yellow"/>
        </w:rPr>
        <w:t xml:space="preserve">[template; hurdle rate __%]</w:t>
      </w:r>
      <w:r>
        <w:rPr>
          <w:sz w:val="20"/>
        </w:rPr>
        <w:t xml:space="preserve">. Known pain points: </w:t>
      </w:r>
      <w:r>
        <w:rPr>
          <w:sz w:val="20"/>
          <w:highlight w:val="yellow"/>
        </w:rPr>
        <w:t xml:space="preserve">[e.g. inconsistent assumptions, benefits not tracked after approval]</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Frame the proposal</w:t>
            </w:r>
          </w:p>
        </w:tc>
        <w:tc>
          <w:tcPr>
            <w:tcW w:type="dxa" w:w="1850"/>
            <w:vAlign w:val="center"/>
          </w:tcPr>
          <w:p>
            <w:pPr>
              <w:spacing w:after="0" w:before="0" w:line="240" w:lineRule="auto"/>
            </w:pPr>
            <w:r>
              <w:rPr>
                <w:color w:val="000000"/>
                <w:sz w:val="18"/>
              </w:rPr>
              <w:t xml:space="preserve">Business sponsor and CFO</w:t>
            </w:r>
          </w:p>
        </w:tc>
        <w:tc>
          <w:tcPr>
            <w:tcW w:type="dxa" w:w="4374"/>
            <w:vAlign w:val="center"/>
          </w:tcPr>
          <w:p>
            <w:pPr>
              <w:spacing w:after="0" w:before="0" w:line="240" w:lineRule="auto"/>
            </w:pPr>
            <w:r>
              <w:rPr>
                <w:color w:val="000000"/>
                <w:sz w:val="18"/>
              </w:rPr>
              <w:t xml:space="preserve">Define the problem, strategic fit, alternatives, scope and desired benefits. Identify a sponsor, delivery owner and initial capital requirement.</w:t>
            </w:r>
          </w:p>
        </w:tc>
        <w:tc>
          <w:tcPr>
            <w:tcW w:type="dxa" w:w="2200"/>
            <w:vAlign w:val="center"/>
          </w:tcPr>
          <w:p>
            <w:pPr>
              <w:spacing w:after="0" w:before="0" w:line="240" w:lineRule="auto"/>
            </w:pPr>
            <w:r>
              <w:rPr>
                <w:color w:val="000000"/>
                <w:sz w:val="18"/>
                <w:highlight w:val="yellow"/>
              </w:rPr>
              <w:t xml:space="preserve">[Business case template]</w:t>
            </w:r>
          </w:p>
        </w:tc>
      </w:tr>
      <w:tr>
        <w:trPr>
          <w:cantSplit/>
        </w:trPr>
        <w:tc>
          <w:tcPr>
            <w:tcW w:type="dxa" w:w="1800"/>
            <w:vAlign w:val="center"/>
          </w:tcPr>
          <w:p>
            <w:pPr>
              <w:spacing w:after="0" w:before="0" w:line="240" w:lineRule="auto"/>
            </w:pPr>
            <w:r>
              <w:rPr>
                <w:b/>
                <w:color w:val="000000"/>
                <w:sz w:val="18"/>
              </w:rPr>
              <w:t xml:space="preserve">2  Build the case</w:t>
            </w:r>
          </w:p>
        </w:tc>
        <w:tc>
          <w:tcPr>
            <w:tcW w:type="dxa" w:w="1850"/>
            <w:vAlign w:val="center"/>
          </w:tcPr>
          <w:p>
            <w:pPr>
              <w:spacing w:after="0" w:before="0" w:line="240" w:lineRule="auto"/>
            </w:pPr>
            <w:r>
              <w:rPr>
                <w:color w:val="000000"/>
                <w:sz w:val="18"/>
              </w:rPr>
              <w:t xml:space="preserve">Sponsor and FP&amp;A</w:t>
            </w:r>
          </w:p>
        </w:tc>
        <w:tc>
          <w:tcPr>
            <w:tcW w:type="dxa" w:w="4374"/>
            <w:vAlign w:val="center"/>
          </w:tcPr>
          <w:p>
            <w:pPr>
              <w:spacing w:after="0" w:before="0" w:line="240" w:lineRule="auto"/>
            </w:pPr>
            <w:r>
              <w:rPr>
                <w:color w:val="000000"/>
                <w:sz w:val="18"/>
              </w:rPr>
              <w:t xml:space="preserve">Estimate incremental cash flows, implementation costs and working capital. Assess returns, affordability, sensitivities and the option to defer or do nothing.</w:t>
            </w:r>
          </w:p>
        </w:tc>
        <w:tc>
          <w:tcPr>
            <w:tcW w:type="dxa" w:w="2200"/>
            <w:vAlign w:val="center"/>
          </w:tcPr>
          <w:p>
            <w:pPr>
              <w:spacing w:after="0" w:before="0" w:line="240" w:lineRule="auto"/>
            </w:pPr>
            <w:r>
              <w:rPr>
                <w:color w:val="000000"/>
                <w:sz w:val="18"/>
              </w:rPr>
              <w:t xml:space="preserve">Excel investment model</w:t>
            </w:r>
          </w:p>
        </w:tc>
      </w:tr>
      <w:tr>
        <w:trPr>
          <w:cantSplit/>
        </w:trPr>
        <w:tc>
          <w:tcPr>
            <w:tcW w:type="dxa" w:w="1800"/>
            <w:vAlign w:val="center"/>
          </w:tcPr>
          <w:p>
            <w:pPr>
              <w:spacing w:after="0" w:before="0" w:line="240" w:lineRule="auto"/>
            </w:pPr>
            <w:r>
              <w:rPr>
                <w:b/>
                <w:color w:val="000000"/>
                <w:sz w:val="18"/>
              </w:rPr>
              <w:t xml:space="preserve">3  Challenge and investigate</w:t>
            </w:r>
          </w:p>
        </w:tc>
        <w:tc>
          <w:tcPr>
            <w:tcW w:type="dxa" w:w="1850"/>
            <w:vAlign w:val="center"/>
          </w:tcPr>
          <w:p>
            <w:pPr>
              <w:spacing w:after="0" w:before="0" w:line="240" w:lineRule="auto"/>
            </w:pPr>
            <w:r>
              <w:rPr>
                <w:color w:val="000000"/>
                <w:sz w:val="18"/>
              </w:rPr>
              <w:t xml:space="preserve">FP&amp;A, tax advisers and legal</w:t>
            </w:r>
          </w:p>
        </w:tc>
        <w:tc>
          <w:tcPr>
            <w:tcW w:type="dxa" w:w="4374"/>
            <w:vAlign w:val="center"/>
          </w:tcPr>
          <w:p>
            <w:pPr>
              <w:spacing w:after="0" w:before="0" w:line="240" w:lineRule="auto"/>
            </w:pPr>
            <w:r>
              <w:rPr>
                <w:color w:val="000000"/>
                <w:sz w:val="18"/>
              </w:rPr>
              <w:t xml:space="preserve">Validate assumptions and delivery capacity. For transactions, assess financial, commercial, legal and operational findings; revise value or terms when risks change.</w:t>
            </w:r>
          </w:p>
        </w:tc>
        <w:tc>
          <w:tcPr>
            <w:tcW w:type="dxa" w:w="2200"/>
            <w:vAlign w:val="center"/>
          </w:tcPr>
          <w:p>
            <w:pPr>
              <w:spacing w:after="0" w:before="0" w:line="240" w:lineRule="auto"/>
            </w:pPr>
            <w:r>
              <w:rPr>
                <w:color w:val="000000"/>
                <w:sz w:val="18"/>
              </w:rPr>
              <w:t xml:space="preserve">SharePoint; specialist reports</w:t>
            </w:r>
          </w:p>
        </w:tc>
      </w:tr>
      <w:tr>
        <w:trPr>
          <w:cantSplit/>
        </w:trPr>
        <w:tc>
          <w:tcPr>
            <w:tcW w:type="dxa" w:w="1800"/>
            <w:vAlign w:val="center"/>
          </w:tcPr>
          <w:p>
            <w:pPr>
              <w:spacing w:after="0" w:before="0" w:line="240" w:lineRule="auto"/>
            </w:pPr>
            <w:r>
              <w:rPr>
                <w:b/>
                <w:color w:val="000000"/>
                <w:sz w:val="18"/>
              </w:rPr>
              <w:t xml:space="preserve">4  Decide and fund</w:t>
            </w:r>
          </w:p>
        </w:tc>
        <w:tc>
          <w:tcPr>
            <w:tcW w:type="dxa" w:w="1850"/>
            <w:vAlign w:val="center"/>
          </w:tcPr>
          <w:p>
            <w:pPr>
              <w:spacing w:after="0" w:before="0" w:line="240" w:lineRule="auto"/>
            </w:pPr>
            <w:r>
              <w:rPr>
                <w:color w:val="000000"/>
                <w:sz w:val="18"/>
              </w:rPr>
              <w:t xml:space="preserve">CFO and board</w:t>
            </w:r>
          </w:p>
        </w:tc>
        <w:tc>
          <w:tcPr>
            <w:tcW w:type="dxa" w:w="4374"/>
            <w:vAlign w:val="center"/>
          </w:tcPr>
          <w:p>
            <w:pPr>
              <w:spacing w:after="0" w:before="0" w:line="240" w:lineRule="auto"/>
            </w:pPr>
            <w:r>
              <w:rPr>
                <w:color w:val="000000"/>
                <w:sz w:val="18"/>
              </w:rPr>
              <w:t xml:space="preserve">Compare proposals with competing uses of capital. Approve, reject or request revision; set funding sources, spending limits, conditions and review milestones.</w:t>
            </w:r>
          </w:p>
        </w:tc>
        <w:tc>
          <w:tcPr>
            <w:tcW w:type="dxa" w:w="2200"/>
            <w:vAlign w:val="center"/>
          </w:tcPr>
          <w:p>
            <w:pPr>
              <w:spacing w:after="0" w:before="0" w:line="240" w:lineRule="auto"/>
            </w:pPr>
            <w:r>
              <w:rPr>
                <w:color w:val="000000"/>
                <w:sz w:val="18"/>
                <w:highlight w:val="yellow"/>
              </w:rPr>
              <w:t xml:space="preserve">[Committee / board portal]</w:t>
            </w:r>
          </w:p>
        </w:tc>
      </w:tr>
      <w:tr>
        <w:trPr>
          <w:cantSplit/>
        </w:trPr>
        <w:tc>
          <w:tcPr>
            <w:tcW w:type="dxa" w:w="1800"/>
            <w:vAlign w:val="center"/>
          </w:tcPr>
          <w:p>
            <w:pPr>
              <w:spacing w:after="0" w:before="0" w:line="240" w:lineRule="auto"/>
            </w:pPr>
            <w:r>
              <w:rPr>
                <w:b/>
                <w:color w:val="000000"/>
                <w:sz w:val="18"/>
              </w:rPr>
              <w:t xml:space="preserve">5  Execute and govern</w:t>
            </w:r>
          </w:p>
        </w:tc>
        <w:tc>
          <w:tcPr>
            <w:tcW w:type="dxa" w:w="1850"/>
            <w:vAlign w:val="center"/>
          </w:tcPr>
          <w:p>
            <w:pPr>
              <w:spacing w:after="0" w:before="0" w:line="240" w:lineRule="auto"/>
            </w:pPr>
            <w:r>
              <w:rPr>
                <w:color w:val="000000"/>
                <w:sz w:val="18"/>
              </w:rPr>
              <w:t xml:space="preserve">Sponsor and FP&amp;A</w:t>
            </w:r>
          </w:p>
        </w:tc>
        <w:tc>
          <w:tcPr>
            <w:tcW w:type="dxa" w:w="4374"/>
            <w:vAlign w:val="center"/>
          </w:tcPr>
          <w:p>
            <w:pPr>
              <w:spacing w:after="0" w:before="0" w:line="240" w:lineRule="auto"/>
            </w:pPr>
            <w:r>
              <w:rPr>
                <w:color w:val="000000"/>
                <w:sz w:val="18"/>
              </w:rPr>
              <w:t xml:space="preserve">Complete approvals and required conditions, execute contracts and release funds. Track scope, costs and risks; route material changes back for approval.</w:t>
            </w:r>
          </w:p>
        </w:tc>
        <w:tc>
          <w:tcPr>
            <w:tcW w:type="dxa" w:w="2200"/>
            <w:vAlign w:val="center"/>
          </w:tcPr>
          <w:p>
            <w:pPr>
              <w:spacing w:after="0" w:before="0" w:line="240" w:lineRule="auto"/>
            </w:pPr>
            <w:r>
              <w:rPr>
                <w:color w:val="000000"/>
                <w:sz w:val="18"/>
              </w:rPr>
              <w:t xml:space="preserve">Procurement system POs; bank portal; </w:t>
            </w:r>
            <w:r>
              <w:rPr>
                <w:color w:val="000000"/>
                <w:sz w:val="18"/>
                <w:highlight w:val="yellow"/>
              </w:rPr>
              <w:t xml:space="preserve">[project tracker]</w:t>
            </w:r>
          </w:p>
        </w:tc>
      </w:tr>
      <w:tr>
        <w:trPr>
          <w:cantSplit/>
        </w:trPr>
        <w:tc>
          <w:tcPr>
            <w:tcW w:type="dxa" w:w="1800"/>
            <w:vAlign w:val="center"/>
          </w:tcPr>
          <w:p>
            <w:pPr>
              <w:spacing w:after="0" w:before="0" w:line="240" w:lineRule="auto"/>
            </w:pPr>
            <w:r>
              <w:rPr>
                <w:b/>
                <w:color w:val="000000"/>
                <w:sz w:val="18"/>
              </w:rPr>
              <w:t xml:space="preserve">6  Review outcomes</w:t>
            </w:r>
          </w:p>
        </w:tc>
        <w:tc>
          <w:tcPr>
            <w:tcW w:type="dxa" w:w="1850"/>
            <w:vAlign w:val="center"/>
          </w:tcPr>
          <w:p>
            <w:pPr>
              <w:spacing w:after="0" w:before="0" w:line="240" w:lineRule="auto"/>
            </w:pPr>
            <w:r>
              <w:rPr>
                <w:color w:val="000000"/>
                <w:sz w:val="18"/>
              </w:rPr>
              <w:t xml:space="preserve">Sponsor and FP&amp;A</w:t>
            </w:r>
          </w:p>
        </w:tc>
        <w:tc>
          <w:tcPr>
            <w:tcW w:type="dxa" w:w="4374"/>
            <w:vAlign w:val="center"/>
          </w:tcPr>
          <w:p>
            <w:pPr>
              <w:spacing w:after="0" w:before="0" w:line="240" w:lineRule="auto"/>
            </w:pPr>
            <w:r>
              <w:rPr>
                <w:color w:val="000000"/>
                <w:sz w:val="18"/>
              </w:rPr>
              <w:t xml:space="preserve">Compare actual spend, cash flows and benefits with the approved case. Review integration where relevant and recommend corrective action, further investment or exit.</w:t>
            </w:r>
          </w:p>
        </w:tc>
        <w:tc>
          <w:tcPr>
            <w:tcW w:type="dxa" w:w="2200"/>
            <w:vAlign w:val="center"/>
          </w:tcPr>
          <w:p>
            <w:pPr>
              <w:spacing w:after="0" w:before="0" w:line="240" w:lineRule="auto"/>
            </w:pPr>
            <w:r>
              <w:rPr>
                <w:color w:val="000000"/>
                <w:sz w:val="18"/>
              </w:rPr>
              <w:t xml:space="preserve">Excel; Cloud ERP project actuals</w:t>
            </w:r>
          </w:p>
        </w:tc>
      </w:tr>
    </w:tbl>
    <w:p>
      <w:pPr>
        <w:spacing w:after="80"/>
      </w:pPr>
      <w:r>
        <w:rPr>
          <w:b/>
          <w:sz w:val="20"/>
        </w:rPr>
        <w:t xml:space="preserve">Controls and success measures: </w:t>
      </w:r>
      <w:r>
        <w:rPr>
          <w:sz w:val="20"/>
        </w:rPr>
        <w:t xml:space="preserve">Use consistent evaluation assumptions, staged approvals and independent challenge. Track committed versus approved capital, delivery milestones and realised benefits. Do not treat approval of a budget as automatic approval of every transaction.</w:t>
      </w:r>
    </w:p>
    <w:p>
      <w:pPr>
        <w:pStyle w:val="Title"/>
        <w:pageBreakBefore/>
      </w:pPr>
      <w:r>
        <w:t>CFO office process guide</w:t>
      </w:r>
    </w:p>
    <w:p>
      <w:pPr>
        <w:pStyle w:val="Heading1"/>
      </w:pPr>
      <w:r>
        <w:t>10  Board and investor reporting</w:t>
      </w:r>
    </w:p>
    <w:p>
      <w:pPr>
        <w:spacing w:after="100"/>
      </w:pPr>
      <w:r>
        <w:rPr>
          <w:sz w:val="20"/>
        </w:rPr>
        <w:t xml:space="preserve">Give the board, shareholders and lenders a clear, consistent account of financial performance, outlook and material risks. Reporting should explain the decisions required and the evidence behind management's view, with content and distribution tailored to each audience and its obligations.</w:t>
      </w:r>
    </w:p>
    <w:p>
      <w:pPr>
        <w:spacing w:after="80"/>
      </w:pPr>
      <w:r>
        <w:rPr>
          <w:b/>
          <w:sz w:val="20"/>
        </w:rPr>
        <w:t xml:space="preserve">Ownership and participants: </w:t>
      </w:r>
      <w:r>
        <w:rPr>
          <w:sz w:val="20"/>
        </w:rPr>
        <w:t xml:space="preserve">CFO owns financial content; FP&amp;A prepares the packs and the Financial Controller supports. The CFO manages owner and investor communications; </w:t>
      </w:r>
      <w:r>
        <w:rPr>
          <w:sz w:val="20"/>
          <w:highlight w:val="yellow"/>
        </w:rPr>
        <w:t xml:space="preserve">[company secretary or CFO]</w:t>
      </w:r>
      <w:r>
        <w:rPr>
          <w:sz w:val="20"/>
        </w:rPr>
        <w:t xml:space="preserve"> coordinates board materials. The CEO and board review and approve.</w:t>
      </w:r>
    </w:p>
    <w:p>
      <w:pPr>
        <w:spacing w:after="80"/>
      </w:pPr>
      <w:r>
        <w:rPr>
          <w:b/>
          <w:sz w:val="20"/>
        </w:rPr>
        <w:t xml:space="preserve">Cadence today: </w:t>
      </w:r>
      <w:r>
        <w:rPr>
          <w:sz w:val="20"/>
        </w:rPr>
        <w:t xml:space="preserve">Board meetings </w:t>
      </w:r>
      <w:r>
        <w:rPr>
          <w:sz w:val="20"/>
          <w:highlight w:val="yellow"/>
        </w:rPr>
        <w:t xml:space="preserve">[__]</w:t>
      </w:r>
      <w:r>
        <w:rPr>
          <w:sz w:val="20"/>
        </w:rPr>
        <w:t xml:space="preserve"> per year; lender reporting </w:t>
      </w:r>
      <w:r>
        <w:rPr>
          <w:sz w:val="20"/>
          <w:highlight w:val="yellow"/>
        </w:rPr>
        <w:t xml:space="preserve">[monthly / quarterly]</w:t>
      </w:r>
      <w:r>
        <w:rPr>
          <w:sz w:val="20"/>
        </w:rPr>
        <w:t xml:space="preserve">; investor reporting </w:t>
      </w:r>
      <w:r>
        <w:rPr>
          <w:sz w:val="20"/>
          <w:highlight w:val="yellow"/>
        </w:rPr>
        <w:t xml:space="preserve">[half-yearly / as applicable]</w:t>
      </w:r>
      <w:r>
        <w:rPr>
          <w:sz w:val="20"/>
        </w:rPr>
        <w:t xml:space="preserve">.</w:t>
      </w:r>
    </w:p>
    <w:p>
      <w:pPr>
        <w:spacing w:after="80"/>
      </w:pPr>
      <w:r>
        <w:rPr>
          <w:b/>
          <w:sz w:val="20"/>
        </w:rPr>
        <w:t xml:space="preserve">Key inputs: </w:t>
      </w:r>
      <w:r>
        <w:rPr>
          <w:sz w:val="20"/>
        </w:rPr>
        <w:t xml:space="preserve">Approved actuals and statements; forecast and strategic plan; performance commentary; cash and covenant information; investment proposals; material risks and control issues; prior commitments; stakeholder questions and reporting requirements.</w:t>
      </w:r>
    </w:p>
    <w:p>
      <w:pPr>
        <w:spacing w:after="80"/>
      </w:pPr>
      <w:r>
        <w:rPr>
          <w:b/>
          <w:sz w:val="20"/>
        </w:rPr>
        <w:t xml:space="preserve">Key outputs: </w:t>
      </w:r>
      <w:r>
        <w:rPr>
          <w:sz w:val="20"/>
        </w:rPr>
        <w:t xml:space="preserve">Board financial pack and decision papers; approved investor materials; lender reports; agreed outlook and explanations; meeting decisions and actions; controlled publication records; a log of follow-up questions and commitments.</w:t>
      </w:r>
    </w:p>
    <w:p>
      <w:pPr>
        <w:spacing w:after="80"/>
      </w:pPr>
      <w:r>
        <w:rPr>
          <w:b/>
          <w:sz w:val="20"/>
        </w:rPr>
        <w:t xml:space="preserve">Dependencies and handoffs: </w:t>
      </w:r>
      <w:r>
        <w:rPr>
          <w:sz w:val="20"/>
        </w:rPr>
        <w:t xml:space="preserve">Draws on planning (1), performance analysis (2), accounting (3), treasury (6), tax (7), controls (8) and capital decisions (9). Depends on legal and governance review. Stakeholder decisions and questions feed subsequent plans, analysis and management actions.</w:t>
      </w:r>
    </w:p>
    <w:p>
      <w:pPr>
        <w:spacing w:after="80"/>
      </w:pPr>
      <w:r>
        <w:rPr>
          <w:b/>
          <w:sz w:val="20"/>
        </w:rPr>
        <w:t xml:space="preserve">Current practice and workarounds: </w:t>
      </w:r>
      <w:r>
        <w:rPr>
          <w:sz w:val="20"/>
        </w:rPr>
        <w:t xml:space="preserve">Owner: CFO, with the FP&amp;A Manager preparing the packs. The pack is prepared in </w:t>
      </w:r>
      <w:r>
        <w:rPr>
          <w:sz w:val="20"/>
          <w:highlight w:val="yellow"/>
        </w:rPr>
        <w:t xml:space="preserve">[tool]</w:t>
      </w:r>
      <w:r>
        <w:rPr>
          <w:sz w:val="20"/>
        </w:rPr>
        <w:t xml:space="preserve">, runs to about </w:t>
      </w:r>
      <w:r>
        <w:rPr>
          <w:sz w:val="20"/>
          <w:highlight w:val="yellow"/>
        </w:rPr>
        <w:t xml:space="preserve">[__]</w:t>
      </w:r>
      <w:r>
        <w:rPr>
          <w:sz w:val="20"/>
        </w:rPr>
        <w:t xml:space="preserve"> pages and is issued </w:t>
      </w:r>
      <w:r>
        <w:rPr>
          <w:sz w:val="20"/>
          <w:highlight w:val="yellow"/>
        </w:rPr>
        <w:t xml:space="preserve">[__]</w:t>
      </w:r>
      <w:r>
        <w:rPr>
          <w:sz w:val="20"/>
        </w:rPr>
        <w:t xml:space="preserve"> days before the meeting. Figures are tied to source by </w:t>
      </w:r>
      <w:r>
        <w:rPr>
          <w:sz w:val="20"/>
          <w:highlight w:val="yellow"/>
        </w:rPr>
        <w:t xml:space="preserve">[method]</w:t>
      </w:r>
      <w:r>
        <w:rPr>
          <w:sz w:val="20"/>
        </w:rPr>
        <w:t xml:space="preserve">. Known pain points: </w:t>
      </w:r>
      <w:r>
        <w:rPr>
          <w:sz w:val="20"/>
          <w:highlight w:val="yellow"/>
        </w:rPr>
        <w:t xml:space="preserve">[e.g. late changes, version confusion, manual tie-out]</w:t>
      </w:r>
      <w:r>
        <w:rPr>
          <w:sz w:val="20"/>
        </w:rPr>
        <w:t xml:space="preserve">.</w:t>
      </w:r>
    </w:p>
    <w:p>
      <w:pPr>
        <w:pStyle w:val="Heading2"/>
      </w:pPr>
      <w:r>
        <w:t>Process flow</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800"/>
        <w:gridCol w:w="1850"/>
        <w:gridCol w:w="4374"/>
        <w:gridCol w:w="2200"/>
      </w:tblGrid>
      <w:tr>
        <w:trPr>
          <w:tblHeader/>
        </w:trPr>
        <w:tc>
          <w:tcPr>
            <w:tcW w:type="dxa" w:w="1800"/>
            <w:shd w:val="clear" w:color="auto" w:fill="DCE6F1"/>
            <w:vAlign w:val="center"/>
          </w:tcPr>
          <w:p>
            <w:pPr>
              <w:spacing w:after="0" w:before="0" w:line="240" w:lineRule="auto"/>
            </w:pPr>
            <w:r>
              <w:rPr>
                <w:b/>
                <w:color w:val="000000"/>
                <w:sz w:val="18"/>
              </w:rPr>
              <w:t xml:space="preserve">Step</w:t>
            </w:r>
          </w:p>
        </w:tc>
        <w:tc>
          <w:tcPr>
            <w:tcW w:type="dxa" w:w="1850"/>
            <w:shd w:val="clear" w:color="auto" w:fill="DCE6F1"/>
            <w:vAlign w:val="center"/>
          </w:tcPr>
          <w:p>
            <w:pPr>
              <w:spacing w:after="0" w:before="0" w:line="240" w:lineRule="auto"/>
            </w:pPr>
            <w:r>
              <w:rPr>
                <w:b/>
                <w:color w:val="000000"/>
                <w:sz w:val="18"/>
              </w:rPr>
              <w:t xml:space="preserve">People involved</w:t>
            </w:r>
          </w:p>
        </w:tc>
        <w:tc>
          <w:tcPr>
            <w:tcW w:type="dxa" w:w="4374"/>
            <w:shd w:val="clear" w:color="auto" w:fill="DCE6F1"/>
            <w:vAlign w:val="center"/>
          </w:tcPr>
          <w:p>
            <w:pPr>
              <w:spacing w:after="0" w:before="0" w:line="240" w:lineRule="auto"/>
            </w:pPr>
            <w:r>
              <w:rPr>
                <w:b/>
                <w:color w:val="000000"/>
                <w:sz w:val="18"/>
              </w:rPr>
              <w:t xml:space="preserve">Activity and handoff</w:t>
            </w:r>
          </w:p>
        </w:tc>
        <w:tc>
          <w:tcPr>
            <w:tcW w:type="dxa" w:w="2200"/>
            <w:shd w:val="clear" w:color="auto" w:fill="DCE6F1"/>
            <w:vAlign w:val="center"/>
          </w:tcPr>
          <w:p>
            <w:pPr>
              <w:spacing w:after="0" w:before="0" w:line="240" w:lineRule="auto"/>
            </w:pPr>
            <w:r>
              <w:rPr>
                <w:b/>
                <w:color w:val="000000"/>
                <w:sz w:val="18"/>
              </w:rPr>
              <w:t xml:space="preserve">System today</w:t>
            </w:r>
          </w:p>
        </w:tc>
      </w:tr>
      <w:tr>
        <w:trPr>
          <w:cantSplit/>
        </w:trPr>
        <w:tc>
          <w:tcPr>
            <w:tcW w:type="dxa" w:w="1800"/>
            <w:vAlign w:val="center"/>
          </w:tcPr>
          <w:p>
            <w:pPr>
              <w:spacing w:after="0" w:before="0" w:line="240" w:lineRule="auto"/>
            </w:pPr>
            <w:r>
              <w:rPr>
                <w:b/>
                <w:color w:val="000000"/>
                <w:sz w:val="18"/>
              </w:rPr>
              <w:t xml:space="preserve">1  Plan the reporting</w:t>
            </w:r>
          </w:p>
        </w:tc>
        <w:tc>
          <w:tcPr>
            <w:tcW w:type="dxa" w:w="1850"/>
            <w:vAlign w:val="center"/>
          </w:tcPr>
          <w:p>
            <w:pPr>
              <w:spacing w:after="0" w:before="0" w:line="240" w:lineRule="auto"/>
            </w:pPr>
            <w:r>
              <w:rPr>
                <w:color w:val="000000"/>
                <w:sz w:val="18"/>
              </w:rPr>
              <w:t xml:space="preserve">CFO and </w:t>
            </w:r>
            <w:r>
              <w:rPr>
                <w:color w:val="000000"/>
                <w:sz w:val="18"/>
                <w:highlight w:val="yellow"/>
              </w:rPr>
              <w:t xml:space="preserve">[company secretary: confirm]</w:t>
            </w:r>
          </w:p>
        </w:tc>
        <w:tc>
          <w:tcPr>
            <w:tcW w:type="dxa" w:w="4374"/>
            <w:vAlign w:val="center"/>
          </w:tcPr>
          <w:p>
            <w:pPr>
              <w:spacing w:after="0" w:before="0" w:line="240" w:lineRule="auto"/>
            </w:pPr>
            <w:r>
              <w:rPr>
                <w:color w:val="000000"/>
                <w:sz w:val="18"/>
              </w:rPr>
              <w:t xml:space="preserve">Confirm audiences, dates, required content and decision requests. Set responsibilities, review checkpoints and distribution arrangements appropriate to each audience.</w:t>
            </w:r>
          </w:p>
        </w:tc>
        <w:tc>
          <w:tcPr>
            <w:tcW w:type="dxa" w:w="2200"/>
            <w:vAlign w:val="center"/>
          </w:tcPr>
          <w:p>
            <w:pPr>
              <w:spacing w:after="0" w:before="0" w:line="240" w:lineRule="auto"/>
            </w:pPr>
            <w:r>
              <w:rPr>
                <w:color w:val="000000"/>
                <w:sz w:val="18"/>
              </w:rPr>
              <w:t xml:space="preserve">Board calendar </w:t>
            </w:r>
            <w:r>
              <w:rPr>
                <w:color w:val="000000"/>
                <w:sz w:val="18"/>
                <w:highlight w:val="yellow"/>
              </w:rPr>
              <w:t xml:space="preserve">[location]</w:t>
            </w:r>
          </w:p>
        </w:tc>
      </w:tr>
      <w:tr>
        <w:trPr>
          <w:cantSplit/>
        </w:trPr>
        <w:tc>
          <w:tcPr>
            <w:tcW w:type="dxa" w:w="1800"/>
            <w:vAlign w:val="center"/>
          </w:tcPr>
          <w:p>
            <w:pPr>
              <w:spacing w:after="0" w:before="0" w:line="240" w:lineRule="auto"/>
            </w:pPr>
            <w:r>
              <w:rPr>
                <w:b/>
                <w:color w:val="000000"/>
                <w:sz w:val="18"/>
              </w:rPr>
              <w:t xml:space="preserve">2  Compile evidence</w:t>
            </w:r>
          </w:p>
        </w:tc>
        <w:tc>
          <w:tcPr>
            <w:tcW w:type="dxa" w:w="1850"/>
            <w:vAlign w:val="center"/>
          </w:tcPr>
          <w:p>
            <w:pPr>
              <w:spacing w:after="0" w:before="0" w:line="240" w:lineRule="auto"/>
            </w:pPr>
            <w:r>
              <w:rPr>
                <w:color w:val="000000"/>
                <w:sz w:val="18"/>
              </w:rPr>
              <w:t xml:space="preserve">FP&amp;A and Financial Controller</w:t>
            </w:r>
          </w:p>
        </w:tc>
        <w:tc>
          <w:tcPr>
            <w:tcW w:type="dxa" w:w="4374"/>
            <w:vAlign w:val="center"/>
          </w:tcPr>
          <w:p>
            <w:pPr>
              <w:spacing w:after="0" w:before="0" w:line="240" w:lineRule="auto"/>
            </w:pPr>
            <w:r>
              <w:rPr>
                <w:color w:val="000000"/>
                <w:sz w:val="18"/>
              </w:rPr>
              <w:t xml:space="preserve">Collect approved numbers and commentary. Reconcile headline figures to underlying reports and explain differences in scope, definitions or reporting periods.</w:t>
            </w:r>
          </w:p>
        </w:tc>
        <w:tc>
          <w:tcPr>
            <w:tcW w:type="dxa" w:w="2200"/>
            <w:vAlign w:val="center"/>
          </w:tcPr>
          <w:p>
            <w:pPr>
              <w:spacing w:after="0" w:before="0" w:line="240" w:lineRule="auto"/>
            </w:pPr>
            <w:r>
              <w:rPr>
                <w:color w:val="000000"/>
                <w:sz w:val="18"/>
              </w:rPr>
              <w:t xml:space="preserve">Extracts from Cloud ERP, Excel plan and bank portal; Power BI</w:t>
            </w:r>
          </w:p>
        </w:tc>
      </w:tr>
      <w:tr>
        <w:trPr>
          <w:cantSplit/>
        </w:trPr>
        <w:tc>
          <w:tcPr>
            <w:tcW w:type="dxa" w:w="1800"/>
            <w:vAlign w:val="center"/>
          </w:tcPr>
          <w:p>
            <w:pPr>
              <w:spacing w:after="0" w:before="0" w:line="240" w:lineRule="auto"/>
            </w:pPr>
            <w:r>
              <w:rPr>
                <w:b/>
                <w:color w:val="000000"/>
                <w:sz w:val="18"/>
              </w:rPr>
              <w:t xml:space="preserve">3  Build the narrative</w:t>
            </w:r>
          </w:p>
        </w:tc>
        <w:tc>
          <w:tcPr>
            <w:tcW w:type="dxa" w:w="1850"/>
            <w:vAlign w:val="center"/>
          </w:tcPr>
          <w:p>
            <w:pPr>
              <w:spacing w:after="0" w:before="0" w:line="240" w:lineRule="auto"/>
            </w:pPr>
            <w:r>
              <w:rPr>
                <w:color w:val="000000"/>
                <w:sz w:val="18"/>
              </w:rPr>
              <w:t xml:space="preserve">FP&amp;A Manager and CFO</w:t>
            </w:r>
          </w:p>
        </w:tc>
        <w:tc>
          <w:tcPr>
            <w:tcW w:type="dxa" w:w="4374"/>
            <w:vAlign w:val="center"/>
          </w:tcPr>
          <w:p>
            <w:pPr>
              <w:spacing w:after="0" w:before="0" w:line="240" w:lineRule="auto"/>
            </w:pPr>
            <w:r>
              <w:rPr>
                <w:color w:val="000000"/>
                <w:sz w:val="18"/>
              </w:rPr>
              <w:t xml:space="preserve">Explain results, drivers, outlook, risks and actions. State assumptions and uncertainties clearly; show the options and recommendation for decisions requiring approval.</w:t>
            </w:r>
          </w:p>
        </w:tc>
        <w:tc>
          <w:tcPr>
            <w:tcW w:type="dxa" w:w="2200"/>
            <w:vAlign w:val="center"/>
          </w:tcPr>
          <w:p>
            <w:pPr>
              <w:spacing w:after="0" w:before="0" w:line="240" w:lineRule="auto"/>
            </w:pPr>
            <w:r>
              <w:rPr>
                <w:color w:val="000000"/>
                <w:sz w:val="18"/>
                <w:highlight w:val="yellow"/>
              </w:rPr>
              <w:t xml:space="preserve">[PowerPoint / Word]</w:t>
            </w:r>
          </w:p>
        </w:tc>
      </w:tr>
      <w:tr>
        <w:trPr>
          <w:cantSplit/>
        </w:trPr>
        <w:tc>
          <w:tcPr>
            <w:tcW w:type="dxa" w:w="1800"/>
            <w:vAlign w:val="center"/>
          </w:tcPr>
          <w:p>
            <w:pPr>
              <w:spacing w:after="0" w:before="0" w:line="240" w:lineRule="auto"/>
            </w:pPr>
            <w:r>
              <w:rPr>
                <w:b/>
                <w:color w:val="000000"/>
                <w:sz w:val="18"/>
              </w:rPr>
              <w:t xml:space="preserve">4  Review and approve</w:t>
            </w:r>
          </w:p>
        </w:tc>
        <w:tc>
          <w:tcPr>
            <w:tcW w:type="dxa" w:w="1850"/>
            <w:vAlign w:val="center"/>
          </w:tcPr>
          <w:p>
            <w:pPr>
              <w:spacing w:after="0" w:before="0" w:line="240" w:lineRule="auto"/>
            </w:pPr>
            <w:r>
              <w:rPr>
                <w:color w:val="000000"/>
                <w:sz w:val="18"/>
              </w:rPr>
              <w:t xml:space="preserve">CFO and CEO</w:t>
            </w:r>
          </w:p>
        </w:tc>
        <w:tc>
          <w:tcPr>
            <w:tcW w:type="dxa" w:w="4374"/>
            <w:vAlign w:val="center"/>
          </w:tcPr>
          <w:p>
            <w:pPr>
              <w:spacing w:after="0" w:before="0" w:line="240" w:lineRule="auto"/>
            </w:pPr>
            <w:r>
              <w:rPr>
                <w:color w:val="000000"/>
                <w:sz w:val="18"/>
              </w:rPr>
              <w:t xml:space="preserve">Check consistency, completeness and audience-specific requirements. Resolve conflicting messages and secure the approvals required for board, investor or lender materials.</w:t>
            </w:r>
          </w:p>
        </w:tc>
        <w:tc>
          <w:tcPr>
            <w:tcW w:type="dxa" w:w="2200"/>
            <w:vAlign w:val="center"/>
          </w:tcPr>
          <w:p>
            <w:pPr>
              <w:spacing w:after="0" w:before="0" w:line="240" w:lineRule="auto"/>
            </w:pPr>
            <w:r>
              <w:rPr>
                <w:color w:val="000000"/>
                <w:sz w:val="18"/>
              </w:rPr>
              <w:t xml:space="preserve">Email review; versions on SharePoint</w:t>
            </w:r>
          </w:p>
        </w:tc>
      </w:tr>
      <w:tr>
        <w:trPr>
          <w:cantSplit/>
        </w:trPr>
        <w:tc>
          <w:tcPr>
            <w:tcW w:type="dxa" w:w="1800"/>
            <w:vAlign w:val="center"/>
          </w:tcPr>
          <w:p>
            <w:pPr>
              <w:spacing w:after="0" w:before="0" w:line="240" w:lineRule="auto"/>
            </w:pPr>
            <w:r>
              <w:rPr>
                <w:b/>
                <w:color w:val="000000"/>
                <w:sz w:val="18"/>
              </w:rPr>
              <w:t xml:space="preserve">5  Distribute and discuss</w:t>
            </w:r>
          </w:p>
        </w:tc>
        <w:tc>
          <w:tcPr>
            <w:tcW w:type="dxa" w:w="1850"/>
            <w:vAlign w:val="center"/>
          </w:tcPr>
          <w:p>
            <w:pPr>
              <w:spacing w:after="0" w:before="0" w:line="240" w:lineRule="auto"/>
            </w:pPr>
            <w:r>
              <w:rPr>
                <w:color w:val="000000"/>
                <w:sz w:val="18"/>
              </w:rPr>
              <w:t xml:space="preserve">CFO and </w:t>
            </w:r>
            <w:r>
              <w:rPr>
                <w:color w:val="000000"/>
                <w:sz w:val="18"/>
                <w:highlight w:val="yellow"/>
              </w:rPr>
              <w:t xml:space="preserve">[company secretary: confirm]</w:t>
            </w:r>
          </w:p>
        </w:tc>
        <w:tc>
          <w:tcPr>
            <w:tcW w:type="dxa" w:w="4374"/>
            <w:vAlign w:val="center"/>
          </w:tcPr>
          <w:p>
            <w:pPr>
              <w:spacing w:after="0" w:before="0" w:line="240" w:lineRule="auto"/>
            </w:pPr>
            <w:r>
              <w:rPr>
                <w:color w:val="000000"/>
                <w:sz w:val="18"/>
              </w:rPr>
              <w:t xml:space="preserve">Release the approved version through controlled channels, present the results and answer questions. Manage confidential information and external disclosures appropriately.</w:t>
            </w:r>
          </w:p>
        </w:tc>
        <w:tc>
          <w:tcPr>
            <w:tcW w:type="dxa" w:w="2200"/>
            <w:vAlign w:val="center"/>
          </w:tcPr>
          <w:p>
            <w:pPr>
              <w:spacing w:after="0" w:before="0" w:line="240" w:lineRule="auto"/>
            </w:pPr>
            <w:r>
              <w:rPr>
                <w:color w:val="000000"/>
                <w:sz w:val="18"/>
                <w:highlight w:val="yellow"/>
              </w:rPr>
              <w:t xml:space="preserve">[Board portal]</w:t>
            </w:r>
            <w:r>
              <w:rPr>
                <w:color w:val="000000"/>
                <w:sz w:val="18"/>
              </w:rPr>
              <w:t xml:space="preserve">; </w:t>
            </w:r>
            <w:r>
              <w:rPr>
                <w:color w:val="000000"/>
                <w:sz w:val="18"/>
                <w:highlight w:val="yellow"/>
              </w:rPr>
              <w:t xml:space="preserve">[lender portal / email]</w:t>
            </w:r>
          </w:p>
        </w:tc>
      </w:tr>
      <w:tr>
        <w:trPr>
          <w:cantSplit/>
        </w:trPr>
        <w:tc>
          <w:tcPr>
            <w:tcW w:type="dxa" w:w="1800"/>
            <w:vAlign w:val="center"/>
          </w:tcPr>
          <w:p>
            <w:pPr>
              <w:spacing w:after="0" w:before="0" w:line="240" w:lineRule="auto"/>
            </w:pPr>
            <w:r>
              <w:rPr>
                <w:b/>
                <w:color w:val="000000"/>
                <w:sz w:val="18"/>
              </w:rPr>
              <w:t xml:space="preserve">6  Capture and follow up</w:t>
            </w:r>
          </w:p>
        </w:tc>
        <w:tc>
          <w:tcPr>
            <w:tcW w:type="dxa" w:w="1850"/>
            <w:vAlign w:val="center"/>
          </w:tcPr>
          <w:p>
            <w:pPr>
              <w:spacing w:after="0" w:before="0" w:line="240" w:lineRule="auto"/>
            </w:pPr>
            <w:r>
              <w:rPr>
                <w:color w:val="000000"/>
                <w:sz w:val="18"/>
              </w:rPr>
              <w:t xml:space="preserve">CFO and action owners</w:t>
            </w:r>
          </w:p>
        </w:tc>
        <w:tc>
          <w:tcPr>
            <w:tcW w:type="dxa" w:w="4374"/>
            <w:vAlign w:val="center"/>
          </w:tcPr>
          <w:p>
            <w:pPr>
              <w:spacing w:after="0" w:before="0" w:line="240" w:lineRule="auto"/>
            </w:pPr>
            <w:r>
              <w:rPr>
                <w:color w:val="000000"/>
                <w:sz w:val="18"/>
              </w:rPr>
              <w:t xml:space="preserve">Record decisions, commitments and unanswered questions. Assign follow-up owners and deadlines; carry required actions into the next reporting and planning cycle.</w:t>
            </w:r>
          </w:p>
        </w:tc>
        <w:tc>
          <w:tcPr>
            <w:tcW w:type="dxa" w:w="2200"/>
            <w:vAlign w:val="center"/>
          </w:tcPr>
          <w:p>
            <w:pPr>
              <w:spacing w:after="0" w:before="0" w:line="240" w:lineRule="auto"/>
            </w:pPr>
            <w:r>
              <w:rPr>
                <w:color w:val="000000"/>
                <w:sz w:val="18"/>
              </w:rPr>
              <w:t xml:space="preserve">Actions log on SharePoint</w:t>
            </w:r>
          </w:p>
        </w:tc>
      </w:tr>
    </w:tbl>
    <w:p>
      <w:pPr>
        <w:spacing w:after="80"/>
      </w:pPr>
      <w:r>
        <w:rPr>
          <w:b/>
          <w:sz w:val="20"/>
        </w:rPr>
        <w:t xml:space="preserve">Controls and success measures: </w:t>
      </w:r>
      <w:r>
        <w:rPr>
          <w:sz w:val="20"/>
        </w:rPr>
        <w:t xml:space="preserve">Maintain a single approved version, traceable figures and a distribution record. Track reporting timeliness, corrections and overdue commitments. Keep internal board materials distinct from content approved for external release.</w:t>
      </w:r>
    </w:p>
    <w:p>
      <w:pPr>
        <w:sectPr>
          <w:footerReference w:type="default" r:id="rId9"/>
          <w:pgSz w:w="12240" w:h="15840"/>
          <w:pgMar w:top="864" w:right="1008" w:bottom="864" w:left="1008" w:header="360" w:footer="389" w:gutter="0"/>
          <w:cols w:space="720"/>
          <w:docGrid w:linePitch="360"/>
        </w:sectPr>
      </w:pPr>
    </w:p>
    <w:p>
      <w:pPr>
        <w:pStyle w:val="Title"/>
      </w:pPr>
      <w:r>
        <w:t>CFO office process guide</w:t>
      </w:r>
    </w:p>
    <w:p>
      <w:pPr>
        <w:pStyle w:val="Heading1"/>
      </w:pPr>
      <w:r>
        <w:t xml:space="preserve">Systems landscape today</w:t>
      </w:r>
    </w:p>
    <w:p>
      <w:pPr>
        <w:spacing w:after="120"/>
      </w:pPr>
      <w:r>
        <w:t xml:space="preserve">Record each application the processes use today. One application may serve several categories; list it against each. Include spreadsheets, shared drives and mailboxes where they sit in a live data path, because that is where errors, delays and most of the manual effort occur.</w:t>
      </w:r>
    </w:p>
    <w:tbl>
      <w:tblPr>
        <w:tblW w:type="dxa" w:w="138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750"/>
        <w:gridCol w:w="2500"/>
        <w:gridCol w:w="2050"/>
        <w:gridCol w:w="1100"/>
        <w:gridCol w:w="1600"/>
        <w:gridCol w:w="1950"/>
        <w:gridCol w:w="2874"/>
      </w:tblGrid>
      <w:tr>
        <w:trPr>
          <w:tblHeader/>
        </w:trPr>
        <w:tc>
          <w:tcPr>
            <w:tcW w:type="dxa" w:w="1750"/>
            <w:shd w:val="clear" w:color="auto" w:fill="DCE6F1"/>
            <w:vAlign w:val="center"/>
          </w:tcPr>
          <w:p>
            <w:pPr>
              <w:spacing w:after="0" w:before="0" w:line="240" w:lineRule="auto"/>
            </w:pPr>
            <w:r>
              <w:rPr>
                <w:b/>
                <w:color w:val="000000"/>
                <w:sz w:val="18"/>
              </w:rPr>
              <w:t xml:space="preserve">Category</w:t>
            </w:r>
          </w:p>
        </w:tc>
        <w:tc>
          <w:tcPr>
            <w:tcW w:type="dxa" w:w="2500"/>
            <w:shd w:val="clear" w:color="auto" w:fill="DCE6F1"/>
            <w:vAlign w:val="center"/>
          </w:tcPr>
          <w:p>
            <w:pPr>
              <w:spacing w:after="0" w:before="0" w:line="240" w:lineRule="auto"/>
            </w:pPr>
            <w:r>
              <w:rPr>
                <w:b/>
                <w:color w:val="000000"/>
                <w:sz w:val="18"/>
              </w:rPr>
              <w:t xml:space="preserve">Scope</w:t>
            </w:r>
          </w:p>
        </w:tc>
        <w:tc>
          <w:tcPr>
            <w:tcW w:type="dxa" w:w="2050"/>
            <w:shd w:val="clear" w:color="auto" w:fill="DCE6F1"/>
            <w:vAlign w:val="center"/>
          </w:tcPr>
          <w:p>
            <w:pPr>
              <w:spacing w:after="0" w:before="0" w:line="240" w:lineRule="auto"/>
            </w:pPr>
            <w:r>
              <w:rPr>
                <w:b/>
                <w:color w:val="000000"/>
                <w:sz w:val="18"/>
              </w:rPr>
              <w:t xml:space="preserve">Application and instance today</w:t>
            </w:r>
          </w:p>
        </w:tc>
        <w:tc>
          <w:tcPr>
            <w:tcW w:type="dxa" w:w="1100"/>
            <w:shd w:val="clear" w:color="auto" w:fill="DCE6F1"/>
            <w:vAlign w:val="center"/>
          </w:tcPr>
          <w:p>
            <w:pPr>
              <w:spacing w:after="0" w:before="0" w:line="240" w:lineRule="auto"/>
            </w:pPr>
            <w:r>
              <w:rPr>
                <w:b/>
                <w:color w:val="000000"/>
                <w:sz w:val="18"/>
              </w:rPr>
              <w:t xml:space="preserve">Entities</w:t>
            </w:r>
          </w:p>
        </w:tc>
        <w:tc>
          <w:tcPr>
            <w:tcW w:type="dxa" w:w="1600"/>
            <w:shd w:val="clear" w:color="auto" w:fill="DCE6F1"/>
            <w:vAlign w:val="center"/>
          </w:tcPr>
          <w:p>
            <w:pPr>
              <w:spacing w:after="0" w:before="0" w:line="240" w:lineRule="auto"/>
            </w:pPr>
            <w:r>
              <w:rPr>
                <w:b/>
                <w:color w:val="000000"/>
                <w:sz w:val="18"/>
              </w:rPr>
              <w:t xml:space="preserve">Business / IT owner</w:t>
            </w:r>
          </w:p>
        </w:tc>
        <w:tc>
          <w:tcPr>
            <w:tcW w:type="dxa" w:w="1950"/>
            <w:shd w:val="clear" w:color="auto" w:fill="DCE6F1"/>
            <w:vAlign w:val="center"/>
          </w:tcPr>
          <w:p>
            <w:pPr>
              <w:spacing w:after="0" w:before="0" w:line="240" w:lineRule="auto"/>
            </w:pPr>
            <w:r>
              <w:rPr>
                <w:b/>
                <w:color w:val="000000"/>
                <w:sz w:val="18"/>
              </w:rPr>
              <w:t xml:space="preserve">Main integrations</w:t>
            </w:r>
          </w:p>
        </w:tc>
        <w:tc>
          <w:tcPr>
            <w:tcW w:type="dxa" w:w="2874"/>
            <w:shd w:val="clear" w:color="auto" w:fill="DCE6F1"/>
            <w:vAlign w:val="center"/>
          </w:tcPr>
          <w:p>
            <w:pPr>
              <w:spacing w:after="0" w:before="0" w:line="240" w:lineRule="auto"/>
            </w:pPr>
            <w:r>
              <w:rPr>
                <w:b/>
                <w:color w:val="000000"/>
                <w:sz w:val="18"/>
              </w:rPr>
              <w:t xml:space="preserve">Work done outside the system</w:t>
            </w:r>
          </w:p>
        </w:tc>
      </w:tr>
      <w:tr>
        <w:trPr>
          <w:cantSplit/>
        </w:trPr>
        <w:tc>
          <w:tcPr>
            <w:tcW w:type="dxa" w:w="1750"/>
            <w:vAlign w:val="center"/>
          </w:tcPr>
          <w:p>
            <w:pPr>
              <w:spacing w:after="0" w:before="0" w:line="240" w:lineRule="auto"/>
            </w:pPr>
            <w:r>
              <w:rPr>
                <w:b/>
                <w:color w:val="000000"/>
                <w:sz w:val="18"/>
              </w:rPr>
              <w:t xml:space="preserve">T1 Accounting and close</w:t>
            </w:r>
          </w:p>
        </w:tc>
        <w:tc>
          <w:tcPr>
            <w:tcW w:type="dxa" w:w="2500"/>
            <w:vAlign w:val="center"/>
          </w:tcPr>
          <w:p>
            <w:pPr>
              <w:spacing w:after="0" w:before="0" w:line="240" w:lineRule="auto"/>
            </w:pPr>
            <w:r>
              <w:rPr>
                <w:color w:val="000000"/>
                <w:sz w:val="18"/>
              </w:rPr>
              <w:t xml:space="preserve">General ledger, subledgers, fixed assets, consolidation, reconciliations, close checklist</w:t>
            </w:r>
          </w:p>
        </w:tc>
        <w:tc>
          <w:tcPr>
            <w:tcW w:type="dxa" w:w="2050"/>
            <w:vAlign w:val="center"/>
          </w:tcPr>
          <w:p>
            <w:pPr>
              <w:spacing w:after="0" w:before="0" w:line="240" w:lineRule="auto"/>
            </w:pPr>
            <w:r>
              <w:rPr>
                <w:color w:val="000000"/>
                <w:sz w:val="18"/>
              </w:rPr>
              <w:t xml:space="preserve">Cloud ERP (ledger and consolidation)</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rPr>
              <w:t xml:space="preserve">Balance-sheet reconciliations in Excel; close tracked on a spreadsheet checklist</w:t>
            </w:r>
          </w:p>
        </w:tc>
      </w:tr>
      <w:tr>
        <w:trPr>
          <w:cantSplit/>
        </w:trPr>
        <w:tc>
          <w:tcPr>
            <w:tcW w:type="dxa" w:w="1750"/>
            <w:vAlign w:val="center"/>
          </w:tcPr>
          <w:p>
            <w:pPr>
              <w:spacing w:after="0" w:before="0" w:line="240" w:lineRule="auto"/>
            </w:pPr>
            <w:r>
              <w:rPr>
                <w:b/>
                <w:color w:val="000000"/>
                <w:sz w:val="18"/>
              </w:rPr>
              <w:t xml:space="preserve">T2 Commercial and purchasing</w:t>
            </w:r>
          </w:p>
        </w:tc>
        <w:tc>
          <w:tcPr>
            <w:tcW w:type="dxa" w:w="2500"/>
            <w:vAlign w:val="center"/>
          </w:tcPr>
          <w:p>
            <w:pPr>
              <w:spacing w:after="0" w:before="0" w:line="240" w:lineRule="auto"/>
            </w:pPr>
            <w:r>
              <w:rPr>
                <w:color w:val="000000"/>
                <w:sz w:val="18"/>
              </w:rPr>
              <w:t xml:space="preserve">CRM, contracts, billing, requisitions, purchase orders, accounts payable, expenses</w:t>
            </w:r>
          </w:p>
        </w:tc>
        <w:tc>
          <w:tcPr>
            <w:tcW w:type="dxa" w:w="2050"/>
            <w:vAlign w:val="center"/>
          </w:tcPr>
          <w:p>
            <w:pPr>
              <w:spacing w:after="0" w:before="0" w:line="240" w:lineRule="auto"/>
            </w:pPr>
            <w:r>
              <w:rPr>
                <w:color w:val="000000"/>
                <w:sz w:val="18"/>
              </w:rPr>
              <w:t xml:space="preserve">CRM, billing, procurement, AP and expenses systems </w:t>
            </w:r>
            <w:r>
              <w:rPr>
                <w:color w:val="000000"/>
                <w:sz w:val="18"/>
                <w:highlight w:val="yellow"/>
              </w:rPr>
              <w:t xml:space="preserve">[which run inside the ERP?]</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[e.g. non-PO approvals by email; billing triggers in spreadsheets]</w:t>
            </w:r>
          </w:p>
        </w:tc>
      </w:tr>
      <w:tr>
        <w:trPr>
          <w:cantSplit/>
        </w:trPr>
        <w:tc>
          <w:tcPr>
            <w:tcW w:type="dxa" w:w="1750"/>
            <w:vAlign w:val="center"/>
          </w:tcPr>
          <w:p>
            <w:pPr>
              <w:spacing w:after="0" w:before="0" w:line="240" w:lineRule="auto"/>
            </w:pPr>
            <w:r>
              <w:rPr>
                <w:b/>
                <w:color w:val="000000"/>
                <w:sz w:val="18"/>
              </w:rPr>
              <w:t xml:space="preserve">T3 Planning and analysis</w:t>
            </w:r>
          </w:p>
        </w:tc>
        <w:tc>
          <w:tcPr>
            <w:tcW w:type="dxa" w:w="2500"/>
            <w:vAlign w:val="center"/>
          </w:tcPr>
          <w:p>
            <w:pPr>
              <w:spacing w:after="0" w:before="0" w:line="240" w:lineRule="auto"/>
            </w:pPr>
            <w:r>
              <w:rPr>
                <w:color w:val="000000"/>
                <w:sz w:val="18"/>
              </w:rPr>
              <w:t xml:space="preserve">Budgets, forecasts, driver models, investment models</w:t>
            </w:r>
          </w:p>
        </w:tc>
        <w:tc>
          <w:tcPr>
            <w:tcW w:type="dxa" w:w="2050"/>
            <w:vAlign w:val="center"/>
          </w:tcPr>
          <w:p>
            <w:pPr>
              <w:spacing w:after="0" w:before="0" w:line="240" w:lineRule="auto"/>
            </w:pPr>
            <w:r>
              <w:rPr>
                <w:color w:val="000000"/>
                <w:sz w:val="18"/>
              </w:rPr>
              <w:t xml:space="preserve">Excel (no planning system)</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rPr>
              <w:t xml:space="preserve">Manual export from Cloud ERP</w:t>
            </w:r>
          </w:p>
        </w:tc>
        <w:tc>
          <w:tcPr>
            <w:tcW w:type="dxa" w:w="2874"/>
            <w:vAlign w:val="center"/>
          </w:tcPr>
          <w:p>
            <w:pPr>
              <w:spacing w:after="0" w:before="0" w:line="240" w:lineRule="auto"/>
            </w:pPr>
            <w:r>
              <w:rPr>
                <w:color w:val="000000"/>
                <w:sz w:val="18"/>
              </w:rPr>
              <w:t xml:space="preserve">All planning and forecasting</w:t>
            </w:r>
          </w:p>
        </w:tc>
      </w:tr>
      <w:tr>
        <w:trPr>
          <w:cantSplit/>
        </w:trPr>
        <w:tc>
          <w:tcPr>
            <w:tcW w:type="dxa" w:w="1750"/>
            <w:vAlign w:val="center"/>
          </w:tcPr>
          <w:p>
            <w:pPr>
              <w:spacing w:after="0" w:before="0" w:line="240" w:lineRule="auto"/>
            </w:pPr>
            <w:r>
              <w:rPr>
                <w:b/>
                <w:color w:val="000000"/>
                <w:sz w:val="18"/>
              </w:rPr>
              <w:t xml:space="preserve">T4 Treasury and banking</w:t>
            </w:r>
          </w:p>
        </w:tc>
        <w:tc>
          <w:tcPr>
            <w:tcW w:type="dxa" w:w="2500"/>
            <w:vAlign w:val="center"/>
          </w:tcPr>
          <w:p>
            <w:pPr>
              <w:spacing w:after="0" w:before="0" w:line="240" w:lineRule="auto"/>
            </w:pPr>
            <w:r>
              <w:rPr>
                <w:color w:val="000000"/>
                <w:sz w:val="18"/>
              </w:rPr>
              <w:t xml:space="preserve">Cash position, short-term forecast, debt, covenants, hedging</w:t>
            </w:r>
          </w:p>
        </w:tc>
        <w:tc>
          <w:tcPr>
            <w:tcW w:type="dxa" w:w="2050"/>
            <w:vAlign w:val="center"/>
          </w:tcPr>
          <w:p>
            <w:pPr>
              <w:spacing w:after="0" w:before="0" w:line="240" w:lineRule="auto"/>
            </w:pPr>
            <w:r>
              <w:rPr>
                <w:color w:val="000000"/>
                <w:sz w:val="18"/>
              </w:rPr>
              <w:t xml:space="preserve">Bank portal and Excel; no treasury system</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rPr>
              <w:t xml:space="preserve">Manual</w:t>
            </w:r>
          </w:p>
        </w:tc>
        <w:tc>
          <w:tcPr>
            <w:tcW w:type="dxa" w:w="2874"/>
            <w:vAlign w:val="center"/>
          </w:tcPr>
          <w:p>
            <w:pPr>
              <w:spacing w:after="0" w:before="0" w:line="240" w:lineRule="auto"/>
            </w:pPr>
            <w:r>
              <w:rPr>
                <w:color w:val="000000"/>
                <w:sz w:val="18"/>
              </w:rPr>
              <w:t xml:space="preserve">Cash position and forecast in Excel</w:t>
            </w:r>
          </w:p>
        </w:tc>
      </w:tr>
      <w:tr>
        <w:trPr>
          <w:cantSplit/>
        </w:trPr>
        <w:tc>
          <w:tcPr>
            <w:tcW w:type="dxa" w:w="1750"/>
            <w:vAlign w:val="center"/>
          </w:tcPr>
          <w:p>
            <w:pPr>
              <w:spacing w:after="0" w:before="0" w:line="240" w:lineRule="auto"/>
            </w:pPr>
            <w:r>
              <w:rPr>
                <w:b/>
                <w:color w:val="000000"/>
                <w:sz w:val="18"/>
              </w:rPr>
              <w:t xml:space="preserve">T5 Tax</w:t>
            </w:r>
          </w:p>
        </w:tc>
        <w:tc>
          <w:tcPr>
            <w:tcW w:type="dxa" w:w="2500"/>
            <w:vAlign w:val="center"/>
          </w:tcPr>
          <w:p>
            <w:pPr>
              <w:spacing w:after="0" w:before="0" w:line="240" w:lineRule="auto"/>
            </w:pPr>
            <w:r>
              <w:rPr>
                <w:color w:val="000000"/>
                <w:sz w:val="18"/>
              </w:rPr>
              <w:t xml:space="preserve">VAT determination, MTD submission, provisions, returns</w:t>
            </w:r>
          </w:p>
        </w:tc>
        <w:tc>
          <w:tcPr>
            <w:tcW w:type="dxa" w:w="2050"/>
            <w:vAlign w:val="center"/>
          </w:tcPr>
          <w:p>
            <w:pPr>
              <w:spacing w:after="0" w:before="0" w:line="240" w:lineRule="auto"/>
            </w:pPr>
            <w:r>
              <w:rPr>
                <w:color w:val="000000"/>
                <w:sz w:val="18"/>
              </w:rPr>
              <w:t xml:space="preserve">Cloud ERP (VAT and MTD submission)</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[provision workbook / adviser work]</w:t>
            </w:r>
          </w:p>
        </w:tc>
      </w:tr>
      <w:tr>
        <w:trPr>
          <w:cantSplit/>
        </w:trPr>
        <w:tc>
          <w:tcPr>
            <w:tcW w:type="dxa" w:w="1750"/>
            <w:vAlign w:val="center"/>
          </w:tcPr>
          <w:p>
            <w:pPr>
              <w:spacing w:after="0" w:before="0" w:line="240" w:lineRule="auto"/>
            </w:pPr>
            <w:r>
              <w:rPr>
                <w:b/>
                <w:color w:val="000000"/>
                <w:sz w:val="18"/>
              </w:rPr>
              <w:t xml:space="preserve">T6 Records, workflow and reporting</w:t>
            </w:r>
          </w:p>
        </w:tc>
        <w:tc>
          <w:tcPr>
            <w:tcW w:type="dxa" w:w="2500"/>
            <w:vAlign w:val="center"/>
          </w:tcPr>
          <w:p>
            <w:pPr>
              <w:spacing w:after="0" w:before="0" w:line="240" w:lineRule="auto"/>
            </w:pPr>
            <w:r>
              <w:rPr>
                <w:color w:val="000000"/>
                <w:sz w:val="18"/>
              </w:rPr>
              <w:t xml:space="preserve">Document store, workflow or ticketing, close tool, board portal, action and issue logs</w:t>
            </w:r>
          </w:p>
        </w:tc>
        <w:tc>
          <w:tcPr>
            <w:tcW w:type="dxa" w:w="2050"/>
            <w:vAlign w:val="center"/>
          </w:tcPr>
          <w:p>
            <w:pPr>
              <w:spacing w:after="0" w:before="0" w:line="240" w:lineRule="auto"/>
            </w:pPr>
            <w:r>
              <w:rPr>
                <w:color w:val="000000"/>
                <w:sz w:val="18"/>
              </w:rPr>
              <w:t xml:space="preserve">SharePoint </w:t>
            </w:r>
            <w:r>
              <w:rPr>
                <w:color w:val="000000"/>
                <w:sz w:val="18"/>
                <w:highlight w:val="yellow"/>
              </w:rPr>
              <w:t xml:space="preserve">[board portal, if any]</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[e.g. action logs in spreadsheets]</w:t>
            </w:r>
          </w:p>
        </w:tc>
      </w:tr>
      <w:tr>
        <w:trPr>
          <w:cantSplit/>
        </w:trPr>
        <w:tc>
          <w:tcPr>
            <w:tcW w:type="dxa" w:w="1750"/>
            <w:vAlign w:val="center"/>
          </w:tcPr>
          <w:p>
            <w:pPr>
              <w:spacing w:after="0" w:before="0" w:line="240" w:lineRule="auto"/>
            </w:pPr>
            <w:r>
              <w:rPr>
                <w:b/>
                <w:color w:val="000000"/>
                <w:sz w:val="18"/>
              </w:rPr>
              <w:t xml:space="preserve">T7 HR, payroll and operations</w:t>
            </w:r>
          </w:p>
        </w:tc>
        <w:tc>
          <w:tcPr>
            <w:tcW w:type="dxa" w:w="2500"/>
            <w:vAlign w:val="center"/>
          </w:tcPr>
          <w:p>
            <w:pPr>
              <w:spacing w:after="0" w:before="0" w:line="240" w:lineRule="auto"/>
            </w:pPr>
            <w:r>
              <w:rPr>
                <w:color w:val="000000"/>
                <w:sz w:val="18"/>
              </w:rPr>
              <w:t xml:space="preserve">HR system, payroll, inventory, asset register, operational KPIs</w:t>
            </w:r>
          </w:p>
        </w:tc>
        <w:tc>
          <w:tcPr>
            <w:tcW w:type="dxa" w:w="2050"/>
            <w:vAlign w:val="center"/>
          </w:tcPr>
          <w:p>
            <w:pPr>
              <w:spacing w:after="0" w:before="0" w:line="240" w:lineRule="auto"/>
            </w:pPr>
            <w:r>
              <w:rPr>
                <w:color w:val="000000"/>
                <w:sz w:val="18"/>
              </w:rPr>
              <w:t xml:space="preserve">HR system; payroll run by an external bureau</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[payroll journal from bureau: uploaded or keyed?]</w:t>
            </w:r>
          </w:p>
        </w:tc>
      </w:tr>
      <w:tr>
        <w:trPr>
          <w:cantSplit/>
        </w:trPr>
        <w:tc>
          <w:tcPr>
            <w:tcW w:type="dxa" w:w="1750"/>
            <w:vAlign w:val="center"/>
          </w:tcPr>
          <w:p>
            <w:pPr>
              <w:spacing w:after="0" w:before="0" w:line="240" w:lineRule="auto"/>
            </w:pPr>
            <w:r>
              <w:rPr>
                <w:b/>
                <w:color w:val="000000"/>
                <w:sz w:val="18"/>
              </w:rPr>
              <w:t xml:space="preserve">T8 Master data</w:t>
            </w:r>
          </w:p>
        </w:tc>
        <w:tc>
          <w:tcPr>
            <w:tcW w:type="dxa" w:w="2500"/>
            <w:vAlign w:val="center"/>
          </w:tcPr>
          <w:p>
            <w:pPr>
              <w:spacing w:after="0" w:before="0" w:line="240" w:lineRule="auto"/>
            </w:pPr>
            <w:r>
              <w:rPr>
                <w:color w:val="000000"/>
                <w:sz w:val="18"/>
              </w:rPr>
              <w:t xml:space="preserve">Customers, suppliers, chart of accounts, cost centres, entities, approval hierarchies</w:t>
            </w:r>
          </w:p>
        </w:tc>
        <w:tc>
          <w:tcPr>
            <w:tcW w:type="dxa" w:w="2050"/>
            <w:vAlign w:val="center"/>
          </w:tcPr>
          <w:p>
            <w:pPr>
              <w:spacing w:after="0" w:before="0" w:line="240" w:lineRule="auto"/>
            </w:pPr>
            <w:r>
              <w:rPr>
                <w:color w:val="000000"/>
                <w:sz w:val="18"/>
              </w:rPr>
              <w:t xml:space="preserve">Cloud ERP</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rPr>
              <w:t xml:space="preserve">FP&amp;A / </w:t>
            </w:r>
            <w:r>
              <w:rPr>
                <w:color w:val="000000"/>
                <w:sz w:val="18"/>
                <w:highlight w:val="yellow"/>
              </w:rPr>
              <w:t xml:space="preserve">[IT owner]</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[e.g. supplier set-up forms by email]</w:t>
            </w:r>
          </w:p>
        </w:tc>
      </w:tr>
      <w:tr>
        <w:trPr>
          <w:cantSplit/>
        </w:trPr>
        <w:tc>
          <w:tcPr>
            <w:tcW w:type="dxa" w:w="1750"/>
            <w:vAlign w:val="center"/>
          </w:tcPr>
          <w:p>
            <w:pPr>
              <w:spacing w:after="0" w:before="0" w:line="240" w:lineRule="auto"/>
            </w:pPr>
            <w:r>
              <w:rPr>
                <w:b/>
                <w:color w:val="000000"/>
                <w:sz w:val="18"/>
              </w:rPr>
              <w:t xml:space="preserve">T9 Document capture and inboxes</w:t>
            </w:r>
          </w:p>
        </w:tc>
        <w:tc>
          <w:tcPr>
            <w:tcW w:type="dxa" w:w="2500"/>
            <w:vAlign w:val="center"/>
          </w:tcPr>
          <w:p>
            <w:pPr>
              <w:spacing w:after="0" w:before="0" w:line="240" w:lineRule="auto"/>
            </w:pPr>
            <w:r>
              <w:rPr>
                <w:color w:val="000000"/>
                <w:sz w:val="18"/>
              </w:rPr>
              <w:t xml:space="preserve">AP inbox, OCR or capture tool, remittance mailbox, supplier and customer portals</w:t>
            </w:r>
          </w:p>
        </w:tc>
        <w:tc>
          <w:tcPr>
            <w:tcW w:type="dxa" w:w="2050"/>
            <w:vAlign w:val="center"/>
          </w:tcPr>
          <w:p>
            <w:pPr>
              <w:spacing w:after="0" w:before="0" w:line="240" w:lineRule="auto"/>
            </w:pPr>
            <w:r>
              <w:rPr>
                <w:color w:val="000000"/>
                <w:sz w:val="18"/>
              </w:rPr>
              <w:t xml:space="preserve">Shared mailbox with OCR and capture tools </w:t>
            </w:r>
            <w:r>
              <w:rPr>
                <w:color w:val="000000"/>
                <w:sz w:val="18"/>
                <w:highlight w:val="yellow"/>
              </w:rPr>
              <w:t xml:space="preserve">[names]</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[exceptions the OCR cannot read, keyed manually?]</w:t>
            </w:r>
          </w:p>
        </w:tc>
      </w:tr>
      <w:tr>
        <w:trPr>
          <w:cantSplit/>
        </w:trPr>
        <w:tc>
          <w:tcPr>
            <w:tcW w:type="dxa" w:w="1750"/>
            <w:vAlign w:val="center"/>
          </w:tcPr>
          <w:p>
            <w:pPr>
              <w:spacing w:after="0" w:before="0" w:line="240" w:lineRule="auto"/>
            </w:pPr>
            <w:r>
              <w:rPr>
                <w:b/>
                <w:color w:val="000000"/>
                <w:sz w:val="18"/>
              </w:rPr>
              <w:t xml:space="preserve">T10 Bank connectivity</w:t>
            </w:r>
          </w:p>
        </w:tc>
        <w:tc>
          <w:tcPr>
            <w:tcW w:type="dxa" w:w="2500"/>
            <w:vAlign w:val="center"/>
          </w:tcPr>
          <w:p>
            <w:pPr>
              <w:spacing w:after="0" w:before="0" w:line="240" w:lineRule="auto"/>
            </w:pPr>
            <w:r>
              <w:rPr>
                <w:color w:val="000000"/>
                <w:sz w:val="18"/>
              </w:rPr>
              <w:t xml:space="preserve">Bank portals, payment files (Bacs, Faster Payments, SWIFT), statement feeds</w:t>
            </w:r>
          </w:p>
        </w:tc>
        <w:tc>
          <w:tcPr>
            <w:tcW w:type="dxa" w:w="2050"/>
            <w:vAlign w:val="center"/>
          </w:tcPr>
          <w:p>
            <w:pPr>
              <w:spacing w:after="0" w:before="0" w:line="240" w:lineRule="auto"/>
            </w:pPr>
            <w:r>
              <w:rPr>
                <w:color w:val="000000"/>
                <w:sz w:val="18"/>
              </w:rPr>
              <w:t xml:space="preserve">Bank portal; one bank account</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rPr>
              <w:t xml:space="preserve">Manual via portal</w:t>
            </w:r>
          </w:p>
        </w:tc>
        <w:tc>
          <w:tcPr>
            <w:tcW w:type="dxa" w:w="2874"/>
            <w:vAlign w:val="center"/>
          </w:tcPr>
          <w:p>
            <w:pPr>
              <w:spacing w:after="0" w:before="0" w:line="240" w:lineRule="auto"/>
            </w:pPr>
            <w:r>
              <w:rPr>
                <w:color w:val="000000"/>
                <w:sz w:val="18"/>
                <w:highlight w:val="yellow"/>
              </w:rPr>
              <w:t xml:space="preserve">[statement downloads; payment file uploads]</w:t>
            </w:r>
          </w:p>
        </w:tc>
      </w:tr>
      <w:tr>
        <w:trPr>
          <w:cantSplit/>
        </w:trPr>
        <w:tc>
          <w:tcPr>
            <w:tcW w:type="dxa" w:w="1750"/>
            <w:vAlign w:val="center"/>
          </w:tcPr>
          <w:p>
            <w:pPr>
              <w:spacing w:after="0" w:before="0" w:line="240" w:lineRule="auto"/>
            </w:pPr>
            <w:r>
              <w:rPr>
                <w:b/>
                <w:color w:val="000000"/>
                <w:sz w:val="18"/>
              </w:rPr>
              <w:t xml:space="preserve">T11 BI and reporting</w:t>
            </w:r>
          </w:p>
        </w:tc>
        <w:tc>
          <w:tcPr>
            <w:tcW w:type="dxa" w:w="2500"/>
            <w:vAlign w:val="center"/>
          </w:tcPr>
          <w:p>
            <w:pPr>
              <w:spacing w:after="0" w:before="0" w:line="240" w:lineRule="auto"/>
            </w:pPr>
            <w:r>
              <w:rPr>
                <w:color w:val="000000"/>
                <w:sz w:val="18"/>
              </w:rPr>
              <w:t xml:space="preserve">Dashboards, management pack tooling, data warehouse</w:t>
            </w:r>
          </w:p>
        </w:tc>
        <w:tc>
          <w:tcPr>
            <w:tcW w:type="dxa" w:w="2050"/>
            <w:vAlign w:val="center"/>
          </w:tcPr>
          <w:p>
            <w:pPr>
              <w:spacing w:after="0" w:before="0" w:line="240" w:lineRule="auto"/>
            </w:pPr>
            <w:r>
              <w:rPr>
                <w:color w:val="000000"/>
                <w:sz w:val="18"/>
              </w:rPr>
              <w:t xml:space="preserve">Power BI</w:t>
            </w:r>
          </w:p>
        </w:tc>
        <w:tc>
          <w:tcPr>
            <w:tcW w:type="dxa" w:w="1100"/>
            <w:vAlign w:val="center"/>
          </w:tcPr>
          <w:p>
            <w:pPr>
              <w:spacing w:after="0" w:before="0" w:line="240" w:lineRule="auto"/>
            </w:pPr>
            <w:r>
              <w:rPr>
                <w:color w:val="000000"/>
                <w:sz w:val="18"/>
              </w:rPr>
              <w:t xml:space="preserve">1</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 / file / manual]</w:t>
            </w:r>
          </w:p>
        </w:tc>
        <w:tc>
          <w:tcPr>
            <w:tcW w:type="dxa" w:w="2874"/>
            <w:vAlign w:val="center"/>
          </w:tcPr>
          <w:p>
            <w:pPr>
              <w:spacing w:after="0" w:before="0" w:line="240" w:lineRule="auto"/>
            </w:pPr>
            <w:r>
              <w:rPr>
                <w:color w:val="000000"/>
                <w:sz w:val="18"/>
                <w:highlight w:val="yellow"/>
              </w:rPr>
              <w:t xml:space="preserve">[e.g. pack assembled in PowerPoint]</w:t>
            </w:r>
          </w:p>
        </w:tc>
      </w:tr>
      <w:tr>
        <w:trPr>
          <w:cantSplit/>
        </w:trPr>
        <w:tc>
          <w:tcPr>
            <w:tcW w:type="dxa" w:w="1750"/>
            <w:vAlign w:val="center"/>
          </w:tcPr>
          <w:p>
            <w:pPr>
              <w:spacing w:after="0" w:before="0" w:line="240" w:lineRule="auto"/>
            </w:pPr>
            <w:r>
              <w:rPr>
                <w:b/>
                <w:color w:val="000000"/>
                <w:sz w:val="18"/>
              </w:rPr>
              <w:t xml:space="preserve">T12 Spreadsheets and shared drives</w:t>
            </w:r>
          </w:p>
        </w:tc>
        <w:tc>
          <w:tcPr>
            <w:tcW w:type="dxa" w:w="2500"/>
            <w:vAlign w:val="center"/>
          </w:tcPr>
          <w:p>
            <w:pPr>
              <w:spacing w:after="0" w:before="0" w:line="240" w:lineRule="auto"/>
            </w:pPr>
            <w:r>
              <w:rPr>
                <w:color w:val="000000"/>
                <w:sz w:val="18"/>
              </w:rPr>
              <w:t xml:space="preserve">End-user computing files that feed or replace a system step</w:t>
            </w:r>
          </w:p>
        </w:tc>
        <w:tc>
          <w:tcPr>
            <w:tcW w:type="dxa" w:w="2050"/>
            <w:vAlign w:val="center"/>
          </w:tcPr>
          <w:p>
            <w:pPr>
              <w:spacing w:after="0" w:before="0" w:line="240" w:lineRule="auto"/>
            </w:pPr>
            <w:r>
              <w:rPr>
                <w:color w:val="000000"/>
                <w:sz w:val="18"/>
              </w:rPr>
              <w:t xml:space="preserve">See register below</w:t>
            </w:r>
          </w:p>
        </w:tc>
        <w:tc>
          <w:tcPr>
            <w:tcW w:type="dxa" w:w="1100"/>
            <w:vAlign w:val="center"/>
          </w:tcPr>
          <w:p>
            <w:pPr>
              <w:spacing w:after="0" w:before="0" w:line="240" w:lineRule="auto"/>
            </w:pPr>
            <w:r>
              <w:rPr>
                <w:color w:val="000000"/>
                <w:sz w:val="18"/>
                <w:highlight w:val="yellow"/>
              </w:rPr>
              <w:t xml:space="preserve">[__]</w:t>
            </w:r>
          </w:p>
        </w:tc>
        <w:tc>
          <w:tcPr>
            <w:tcW w:type="dxa" w:w="1600"/>
            <w:vAlign w:val="center"/>
          </w:tcPr>
          <w:p>
            <w:pPr>
              <w:spacing w:after="0" w:before="0" w:line="240" w:lineRule="auto"/>
            </w:pPr>
            <w:r>
              <w:rPr>
                <w:color w:val="000000"/>
                <w:sz w:val="18"/>
                <w:highlight w:val="yellow"/>
              </w:rPr>
              <w:t xml:space="preserve">[name]</w:t>
            </w:r>
          </w:p>
        </w:tc>
        <w:tc>
          <w:tcPr>
            <w:tcW w:type="dxa" w:w="1950"/>
            <w:vAlign w:val="center"/>
          </w:tcPr>
          <w:p>
            <w:pPr>
              <w:spacing w:after="0" w:before="0" w:line="240" w:lineRule="auto"/>
            </w:pPr>
            <w:r>
              <w:rPr>
                <w:color w:val="000000"/>
                <w:sz w:val="18"/>
              </w:rPr>
              <w:t xml:space="preserve">Manual</w:t>
            </w:r>
          </w:p>
        </w:tc>
        <w:tc>
          <w:tcPr>
            <w:tcW w:type="dxa" w:w="2874"/>
            <w:vAlign w:val="center"/>
          </w:tcPr>
          <w:p>
            <w:pPr>
              <w:spacing w:after="0" w:before="0" w:line="240" w:lineRule="auto"/>
            </w:pPr>
            <w:r>
              <w:rPr>
                <w:color w:val="000000"/>
                <w:sz w:val="18"/>
              </w:rPr>
              <w:t xml:space="preserve">All, by definition</w:t>
            </w:r>
          </w:p>
        </w:tc>
      </w:tr>
      <w:tr>
        <w:trPr>
          <w:cantSplit/>
        </w:trPr>
        <w:tc>
          <w:tcPr>
            <w:tcW w:type="dxa" w:w="1750"/>
            <w:vAlign w:val="center"/>
          </w:tcPr>
          <w:p>
            <w:pPr>
              <w:spacing w:after="0" w:before="0" w:line="240" w:lineRule="auto"/>
            </w:pPr>
            <w:r>
              <w:rPr>
                <w:b/>
                <w:color w:val="000000"/>
                <w:sz w:val="18"/>
              </w:rPr>
              <w:t xml:space="preserve">T13 Identity and access</w:t>
            </w:r>
          </w:p>
        </w:tc>
        <w:tc>
          <w:tcPr>
            <w:tcW w:type="dxa" w:w="2500"/>
            <w:vAlign w:val="center"/>
          </w:tcPr>
          <w:p>
            <w:pPr>
              <w:spacing w:after="0" w:before="0" w:line="240" w:lineRule="auto"/>
            </w:pPr>
            <w:r>
              <w:rPr>
                <w:color w:val="000000"/>
                <w:sz w:val="18"/>
              </w:rPr>
              <w:t xml:space="preserve">Single sign-on, role provisioning, access reviews; future agent service identities</w:t>
            </w:r>
          </w:p>
        </w:tc>
        <w:tc>
          <w:tcPr>
            <w:tcW w:type="dxa" w:w="2050"/>
            <w:vAlign w:val="center"/>
          </w:tcPr>
          <w:p>
            <w:pPr>
              <w:spacing w:after="0" w:before="0" w:line="240" w:lineRule="auto"/>
            </w:pPr>
            <w:r>
              <w:rPr>
                <w:color w:val="000000"/>
                <w:sz w:val="18"/>
                <w:highlight w:val="yellow"/>
              </w:rPr>
              <w:t xml:space="preserve">[names]</w:t>
            </w:r>
          </w:p>
        </w:tc>
        <w:tc>
          <w:tcPr>
            <w:tcW w:type="dxa" w:w="1100"/>
            <w:vAlign w:val="center"/>
          </w:tcPr>
          <w:p>
            <w:pPr>
              <w:spacing w:after="0" w:before="0" w:line="240" w:lineRule="auto"/>
            </w:pPr>
            <w:r>
              <w:rPr>
                <w:color w:val="000000"/>
                <w:sz w:val="18"/>
              </w:rPr>
              <w:t xml:space="preserve">All</w:t>
            </w:r>
          </w:p>
        </w:tc>
        <w:tc>
          <w:tcPr>
            <w:tcW w:type="dxa" w:w="1600"/>
            <w:vAlign w:val="center"/>
          </w:tcPr>
          <w:p>
            <w:pPr>
              <w:spacing w:after="0" w:before="0" w:line="240" w:lineRule="auto"/>
            </w:pPr>
            <w:r>
              <w:rPr>
                <w:color w:val="000000"/>
                <w:sz w:val="18"/>
                <w:highlight w:val="yellow"/>
              </w:rPr>
              <w:t xml:space="preserve">[name / name]</w:t>
            </w:r>
          </w:p>
        </w:tc>
        <w:tc>
          <w:tcPr>
            <w:tcW w:type="dxa" w:w="1950"/>
            <w:vAlign w:val="center"/>
          </w:tcPr>
          <w:p>
            <w:pPr>
              <w:spacing w:after="0" w:before="0" w:line="240" w:lineRule="auto"/>
            </w:pPr>
            <w:r>
              <w:rPr>
                <w:color w:val="000000"/>
                <w:sz w:val="18"/>
                <w:highlight w:val="yellow"/>
              </w:rPr>
              <w:t xml:space="preserve">[API]</w:t>
            </w:r>
          </w:p>
        </w:tc>
        <w:tc>
          <w:tcPr>
            <w:tcW w:type="dxa" w:w="2874"/>
            <w:vAlign w:val="center"/>
          </w:tcPr>
          <w:p>
            <w:pPr>
              <w:spacing w:after="0" w:before="0" w:line="240" w:lineRule="auto"/>
            </w:pPr>
            <w:r>
              <w:rPr>
                <w:color w:val="000000"/>
                <w:sz w:val="18"/>
                <w:highlight w:val="yellow"/>
              </w:rPr>
              <w:t xml:space="preserve">[e.g. access reviews in spreadsheets]</w:t>
            </w:r>
          </w:p>
        </w:tc>
      </w:tr>
    </w:tbl>
    <w:p>
      <w:pPr>
        <w:pStyle w:val="Heading2"/>
      </w:pPr>
      <w:r>
        <w:t xml:space="preserve">Key spreadsheets in live data paths</w:t>
      </w:r>
    </w:p>
    <w:tbl>
      <w:tblPr>
        <w:tblW w:type="dxa" w:w="138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600"/>
        <w:gridCol w:w="1500"/>
        <w:gridCol w:w="3324"/>
        <w:gridCol w:w="1600"/>
        <w:gridCol w:w="2400"/>
        <w:gridCol w:w="2400"/>
      </w:tblGrid>
      <w:tr>
        <w:trPr>
          <w:tblHeader/>
        </w:trPr>
        <w:tc>
          <w:tcPr>
            <w:tcW w:type="dxa" w:w="2600"/>
            <w:shd w:val="clear" w:color="auto" w:fill="DCE6F1"/>
            <w:vAlign w:val="center"/>
          </w:tcPr>
          <w:p>
            <w:pPr>
              <w:spacing w:after="0" w:before="0" w:line="240" w:lineRule="auto"/>
            </w:pPr>
            <w:r>
              <w:rPr>
                <w:b/>
                <w:color w:val="000000"/>
                <w:sz w:val="18"/>
              </w:rPr>
              <w:t xml:space="preserve">Spreadsheet</w:t>
            </w:r>
          </w:p>
        </w:tc>
        <w:tc>
          <w:tcPr>
            <w:tcW w:type="dxa" w:w="1500"/>
            <w:shd w:val="clear" w:color="auto" w:fill="DCE6F1"/>
            <w:vAlign w:val="center"/>
          </w:tcPr>
          <w:p>
            <w:pPr>
              <w:spacing w:after="0" w:before="0" w:line="240" w:lineRule="auto"/>
            </w:pPr>
            <w:r>
              <w:rPr>
                <w:b/>
                <w:color w:val="000000"/>
                <w:sz w:val="18"/>
              </w:rPr>
              <w:t xml:space="preserve">Process</w:t>
            </w:r>
          </w:p>
        </w:tc>
        <w:tc>
          <w:tcPr>
            <w:tcW w:type="dxa" w:w="3324"/>
            <w:shd w:val="clear" w:color="auto" w:fill="DCE6F1"/>
            <w:vAlign w:val="center"/>
          </w:tcPr>
          <w:p>
            <w:pPr>
              <w:spacing w:after="0" w:before="0" w:line="240" w:lineRule="auto"/>
            </w:pPr>
            <w:r>
              <w:rPr>
                <w:b/>
                <w:color w:val="000000"/>
                <w:sz w:val="18"/>
              </w:rPr>
              <w:t xml:space="preserve">Purpose</w:t>
            </w:r>
          </w:p>
        </w:tc>
        <w:tc>
          <w:tcPr>
            <w:tcW w:type="dxa" w:w="1600"/>
            <w:shd w:val="clear" w:color="auto" w:fill="DCE6F1"/>
            <w:vAlign w:val="center"/>
          </w:tcPr>
          <w:p>
            <w:pPr>
              <w:spacing w:after="0" w:before="0" w:line="240" w:lineRule="auto"/>
            </w:pPr>
            <w:r>
              <w:rPr>
                <w:b/>
                <w:color w:val="000000"/>
                <w:sz w:val="18"/>
              </w:rPr>
              <w:t xml:space="preserve">Owner</w:t>
            </w:r>
          </w:p>
        </w:tc>
        <w:tc>
          <w:tcPr>
            <w:tcW w:type="dxa" w:w="2400"/>
            <w:shd w:val="clear" w:color="auto" w:fill="DCE6F1"/>
            <w:vAlign w:val="center"/>
          </w:tcPr>
          <w:p>
            <w:pPr>
              <w:spacing w:after="0" w:before="0" w:line="240" w:lineRule="auto"/>
            </w:pPr>
            <w:r>
              <w:rPr>
                <w:b/>
                <w:color w:val="000000"/>
                <w:sz w:val="18"/>
              </w:rPr>
              <w:t xml:space="preserve">Feeds into</w:t>
            </w:r>
          </w:p>
        </w:tc>
        <w:tc>
          <w:tcPr>
            <w:tcW w:type="dxa" w:w="2400"/>
            <w:shd w:val="clear" w:color="auto" w:fill="DCE6F1"/>
            <w:vAlign w:val="center"/>
          </w:tcPr>
          <w:p>
            <w:pPr>
              <w:spacing w:after="0" w:before="0" w:line="240" w:lineRule="auto"/>
            </w:pPr>
            <w:r>
              <w:rPr>
                <w:b/>
                <w:color w:val="000000"/>
                <w:sz w:val="18"/>
              </w:rPr>
              <w:t xml:space="preserve">Control over it</w:t>
            </w:r>
          </w:p>
        </w:tc>
      </w:tr>
      <w:tr>
        <w:trPr>
          <w:cantSplit/>
        </w:trPr>
        <w:tc>
          <w:tcPr>
            <w:tcW w:type="dxa" w:w="2600"/>
            <w:vAlign w:val="center"/>
          </w:tcPr>
          <w:p>
            <w:pPr>
              <w:spacing w:after="0" w:before="0" w:line="240" w:lineRule="auto"/>
            </w:pPr>
            <w:r>
              <w:rPr>
                <w:b/>
                <w:color w:val="000000"/>
                <w:sz w:val="18"/>
              </w:rPr>
              <w:t xml:space="preserve">Balance-sheet reconciliations </w:t>
            </w:r>
            <w:r>
              <w:rPr>
                <w:b/>
                <w:color w:val="000000"/>
                <w:sz w:val="18"/>
                <w:highlight w:val="yellow"/>
              </w:rPr>
              <w:t xml:space="preserve">[SharePoint location]</w:t>
            </w:r>
          </w:p>
        </w:tc>
        <w:tc>
          <w:tcPr>
            <w:tcW w:type="dxa" w:w="1500"/>
            <w:vAlign w:val="center"/>
          </w:tcPr>
          <w:p>
            <w:pPr>
              <w:spacing w:after="0" w:before="0" w:line="240" w:lineRule="auto"/>
            </w:pPr>
            <w:r>
              <w:rPr>
                <w:color w:val="000000"/>
                <w:sz w:val="18"/>
              </w:rPr>
              <w:t xml:space="preserve">3</w:t>
            </w:r>
          </w:p>
        </w:tc>
        <w:tc>
          <w:tcPr>
            <w:tcW w:type="dxa" w:w="3324"/>
            <w:vAlign w:val="center"/>
          </w:tcPr>
          <w:p>
            <w:pPr>
              <w:spacing w:after="0" w:before="0" w:line="240" w:lineRule="auto"/>
            </w:pPr>
            <w:r>
              <w:rPr>
                <w:color w:val="000000"/>
                <w:sz w:val="18"/>
              </w:rPr>
              <w:t xml:space="preserve">Monthly reconciliation of every balance-sheet account to support</w:t>
            </w:r>
          </w:p>
        </w:tc>
        <w:tc>
          <w:tcPr>
            <w:tcW w:type="dxa" w:w="1600"/>
            <w:vAlign w:val="center"/>
          </w:tcPr>
          <w:p>
            <w:pPr>
              <w:spacing w:after="0" w:before="0" w:line="240" w:lineRule="auto"/>
            </w:pPr>
            <w:r>
              <w:rPr>
                <w:color w:val="000000"/>
                <w:sz w:val="18"/>
              </w:rPr>
              <w:t xml:space="preserve">Financial Controller</w:t>
            </w:r>
          </w:p>
        </w:tc>
        <w:tc>
          <w:tcPr>
            <w:tcW w:type="dxa" w:w="2400"/>
            <w:vAlign w:val="center"/>
          </w:tcPr>
          <w:p>
            <w:pPr>
              <w:spacing w:after="0" w:before="0" w:line="240" w:lineRule="auto"/>
            </w:pPr>
            <w:r>
              <w:rPr>
                <w:color w:val="000000"/>
                <w:sz w:val="18"/>
              </w:rPr>
              <w:t xml:space="preserve">Close sign-off; audit evidence</w:t>
            </w:r>
          </w:p>
        </w:tc>
        <w:tc>
          <w:tcPr>
            <w:tcW w:type="dxa" w:w="2400"/>
            <w:vAlign w:val="center"/>
          </w:tcPr>
          <w:p>
            <w:pPr>
              <w:spacing w:after="0" w:before="0" w:line="240" w:lineRule="auto"/>
            </w:pPr>
            <w:r>
              <w:rPr>
                <w:color w:val="000000"/>
                <w:sz w:val="18"/>
                <w:highlight w:val="yellow"/>
              </w:rPr>
              <w:t xml:space="preserve">[preparer and reviewer sign-off; version control]</w:t>
            </w:r>
          </w:p>
        </w:tc>
      </w:tr>
      <w:tr>
        <w:trPr>
          <w:cantSplit/>
        </w:trPr>
        <w:tc>
          <w:tcPr>
            <w:tcW w:type="dxa" w:w="2600"/>
            <w:vAlign w:val="center"/>
          </w:tcPr>
          <w:p>
            <w:pPr>
              <w:spacing w:after="0" w:before="0" w:line="240" w:lineRule="auto"/>
            </w:pPr>
            <w:r>
              <w:rPr>
                <w:b/>
                <w:color w:val="000000"/>
                <w:sz w:val="18"/>
              </w:rPr>
              <w:t xml:space="preserve">Budget and forecast model </w:t>
            </w:r>
            <w:r>
              <w:rPr>
                <w:b/>
                <w:color w:val="000000"/>
                <w:sz w:val="18"/>
                <w:highlight w:val="yellow"/>
              </w:rPr>
              <w:t xml:space="preserve">[file name]</w:t>
            </w:r>
          </w:p>
        </w:tc>
        <w:tc>
          <w:tcPr>
            <w:tcW w:type="dxa" w:w="1500"/>
            <w:vAlign w:val="center"/>
          </w:tcPr>
          <w:p>
            <w:pPr>
              <w:spacing w:after="0" w:before="0" w:line="240" w:lineRule="auto"/>
            </w:pPr>
            <w:r>
              <w:rPr>
                <w:color w:val="000000"/>
                <w:sz w:val="18"/>
              </w:rPr>
              <w:t xml:space="preserve">1, 2, 9</w:t>
            </w:r>
          </w:p>
        </w:tc>
        <w:tc>
          <w:tcPr>
            <w:tcW w:type="dxa" w:w="3324"/>
            <w:vAlign w:val="center"/>
          </w:tcPr>
          <w:p>
            <w:pPr>
              <w:spacing w:after="0" w:before="0" w:line="240" w:lineRule="auto"/>
            </w:pPr>
            <w:r>
              <w:rPr>
                <w:color w:val="000000"/>
                <w:sz w:val="18"/>
              </w:rPr>
              <w:t xml:space="preserve">Annual budget, quarterly reforecast, scenarios</w:t>
            </w:r>
          </w:p>
        </w:tc>
        <w:tc>
          <w:tcPr>
            <w:tcW w:type="dxa" w:w="1600"/>
            <w:vAlign w:val="center"/>
          </w:tcPr>
          <w:p>
            <w:pPr>
              <w:spacing w:after="0" w:before="0" w:line="240" w:lineRule="auto"/>
            </w:pPr>
            <w:r>
              <w:rPr>
                <w:color w:val="000000"/>
                <w:sz w:val="18"/>
              </w:rPr>
              <w:t xml:space="preserve">FP&amp;A Manager</w:t>
            </w:r>
          </w:p>
        </w:tc>
        <w:tc>
          <w:tcPr>
            <w:tcW w:type="dxa" w:w="2400"/>
            <w:vAlign w:val="center"/>
          </w:tcPr>
          <w:p>
            <w:pPr>
              <w:spacing w:after="0" w:before="0" w:line="240" w:lineRule="auto"/>
            </w:pPr>
            <w:r>
              <w:rPr>
                <w:color w:val="000000"/>
                <w:sz w:val="18"/>
              </w:rPr>
              <w:t xml:space="preserve">Management pack; board pack</w:t>
            </w:r>
          </w:p>
        </w:tc>
        <w:tc>
          <w:tcPr>
            <w:tcW w:type="dxa" w:w="2400"/>
            <w:vAlign w:val="center"/>
          </w:tcPr>
          <w:p>
            <w:pPr>
              <w:spacing w:after="0" w:before="0" w:line="240" w:lineRule="auto"/>
            </w:pPr>
            <w:r>
              <w:rPr>
                <w:color w:val="000000"/>
                <w:sz w:val="18"/>
                <w:highlight w:val="yellow"/>
              </w:rPr>
              <w:t xml:space="preserve">[version control, review, access]</w:t>
            </w:r>
          </w:p>
        </w:tc>
      </w:tr>
      <w:tr>
        <w:trPr>
          <w:cantSplit/>
        </w:trPr>
        <w:tc>
          <w:tcPr>
            <w:tcW w:type="dxa" w:w="2600"/>
            <w:vAlign w:val="center"/>
          </w:tcPr>
          <w:p>
            <w:pPr>
              <w:spacing w:after="0" w:before="0" w:line="240" w:lineRule="auto"/>
            </w:pPr>
            <w:r>
              <w:rPr>
                <w:b/>
                <w:color w:val="000000"/>
                <w:sz w:val="18"/>
              </w:rPr>
              <w:t xml:space="preserve">Cash position and forecast </w:t>
            </w:r>
            <w:r>
              <w:rPr>
                <w:b/>
                <w:color w:val="000000"/>
                <w:sz w:val="18"/>
                <w:highlight w:val="yellow"/>
              </w:rPr>
              <w:t xml:space="preserve">[file name]</w:t>
            </w:r>
          </w:p>
        </w:tc>
        <w:tc>
          <w:tcPr>
            <w:tcW w:type="dxa" w:w="1500"/>
            <w:vAlign w:val="center"/>
          </w:tcPr>
          <w:p>
            <w:pPr>
              <w:spacing w:after="0" w:before="0" w:line="240" w:lineRule="auto"/>
            </w:pPr>
            <w:r>
              <w:rPr>
                <w:color w:val="000000"/>
                <w:sz w:val="18"/>
              </w:rPr>
              <w:t xml:space="preserve">6</w:t>
            </w:r>
          </w:p>
        </w:tc>
        <w:tc>
          <w:tcPr>
            <w:tcW w:type="dxa" w:w="3324"/>
            <w:vAlign w:val="center"/>
          </w:tcPr>
          <w:p>
            <w:pPr>
              <w:spacing w:after="0" w:before="0" w:line="240" w:lineRule="auto"/>
            </w:pPr>
            <w:r>
              <w:rPr>
                <w:color w:val="000000"/>
                <w:sz w:val="18"/>
              </w:rPr>
              <w:t xml:space="preserve">Daily cash position and </w:t>
            </w:r>
            <w:r>
              <w:rPr>
                <w:color w:val="000000"/>
                <w:sz w:val="18"/>
                <w:highlight w:val="yellow"/>
              </w:rPr>
              <w:t xml:space="preserve">[13]</w:t>
            </w:r>
            <w:r>
              <w:rPr>
                <w:color w:val="000000"/>
                <w:sz w:val="18"/>
              </w:rPr>
              <w:t xml:space="preserve">-week forecast</w:t>
            </w:r>
          </w:p>
        </w:tc>
        <w:tc>
          <w:tcPr>
            <w:tcW w:type="dxa" w:w="1600"/>
            <w:vAlign w:val="center"/>
          </w:tcPr>
          <w:p>
            <w:pPr>
              <w:spacing w:after="0" w:before="0" w:line="240" w:lineRule="auto"/>
            </w:pPr>
            <w:r>
              <w:rPr>
                <w:color w:val="000000"/>
                <w:sz w:val="18"/>
              </w:rPr>
              <w:t xml:space="preserve">Financial Controller</w:t>
            </w:r>
          </w:p>
        </w:tc>
        <w:tc>
          <w:tcPr>
            <w:tcW w:type="dxa" w:w="2400"/>
            <w:vAlign w:val="center"/>
          </w:tcPr>
          <w:p>
            <w:pPr>
              <w:spacing w:after="0" w:before="0" w:line="240" w:lineRule="auto"/>
            </w:pPr>
            <w:r>
              <w:rPr>
                <w:color w:val="000000"/>
                <w:sz w:val="18"/>
              </w:rPr>
              <w:t xml:space="preserve">Funding decisions; board pack</w:t>
            </w:r>
          </w:p>
        </w:tc>
        <w:tc>
          <w:tcPr>
            <w:tcW w:type="dxa" w:w="2400"/>
            <w:vAlign w:val="center"/>
          </w:tcPr>
          <w:p>
            <w:pPr>
              <w:spacing w:after="0" w:before="0" w:line="240" w:lineRule="auto"/>
            </w:pPr>
            <w:r>
              <w:rPr>
                <w:color w:val="000000"/>
                <w:sz w:val="18"/>
                <w:highlight w:val="yellow"/>
              </w:rPr>
              <w:t xml:space="preserve">[version control, review, access]</w:t>
            </w:r>
          </w:p>
        </w:tc>
      </w:tr>
      <w:tr>
        <w:trPr>
          <w:cantSplit/>
        </w:trPr>
        <w:tc>
          <w:tcPr>
            <w:tcW w:type="dxa" w:w="2600"/>
            <w:vAlign w:val="center"/>
          </w:tcPr>
          <w:p>
            <w:pPr>
              <w:spacing w:after="0" w:before="0" w:line="240" w:lineRule="auto"/>
            </w:pPr>
            <w:r>
              <w:rPr>
                <w:b/>
                <w:color w:val="000000"/>
                <w:sz w:val="18"/>
              </w:rPr>
              <w:t xml:space="preserve">Close checklist </w:t>
            </w:r>
            <w:r>
              <w:rPr>
                <w:b/>
                <w:color w:val="000000"/>
                <w:sz w:val="18"/>
                <w:highlight w:val="yellow"/>
              </w:rPr>
              <w:t xml:space="preserve">[file name]</w:t>
            </w:r>
          </w:p>
        </w:tc>
        <w:tc>
          <w:tcPr>
            <w:tcW w:type="dxa" w:w="1500"/>
            <w:vAlign w:val="center"/>
          </w:tcPr>
          <w:p>
            <w:pPr>
              <w:spacing w:after="0" w:before="0" w:line="240" w:lineRule="auto"/>
            </w:pPr>
            <w:r>
              <w:rPr>
                <w:color w:val="000000"/>
                <w:sz w:val="18"/>
              </w:rPr>
              <w:t xml:space="preserve">3</w:t>
            </w:r>
          </w:p>
        </w:tc>
        <w:tc>
          <w:tcPr>
            <w:tcW w:type="dxa" w:w="3324"/>
            <w:vAlign w:val="center"/>
          </w:tcPr>
          <w:p>
            <w:pPr>
              <w:spacing w:after="0" w:before="0" w:line="240" w:lineRule="auto"/>
            </w:pPr>
            <w:r>
              <w:rPr>
                <w:color w:val="000000"/>
                <w:sz w:val="18"/>
              </w:rPr>
              <w:t xml:space="preserve">Close tasks, owners, deadlines and sign-off</w:t>
            </w:r>
          </w:p>
        </w:tc>
        <w:tc>
          <w:tcPr>
            <w:tcW w:type="dxa" w:w="1600"/>
            <w:vAlign w:val="center"/>
          </w:tcPr>
          <w:p>
            <w:pPr>
              <w:spacing w:after="0" w:before="0" w:line="240" w:lineRule="auto"/>
            </w:pPr>
            <w:r>
              <w:rPr>
                <w:color w:val="000000"/>
                <w:sz w:val="18"/>
              </w:rPr>
              <w:t xml:space="preserve">Financial Controller</w:t>
            </w:r>
          </w:p>
        </w:tc>
        <w:tc>
          <w:tcPr>
            <w:tcW w:type="dxa" w:w="2400"/>
            <w:vAlign w:val="center"/>
          </w:tcPr>
          <w:p>
            <w:pPr>
              <w:spacing w:after="0" w:before="0" w:line="240" w:lineRule="auto"/>
            </w:pPr>
            <w:r>
              <w:rPr>
                <w:color w:val="000000"/>
                <w:sz w:val="18"/>
              </w:rPr>
              <w:t xml:space="preserve">Close sign-off</w:t>
            </w:r>
          </w:p>
        </w:tc>
        <w:tc>
          <w:tcPr>
            <w:tcW w:type="dxa" w:w="2400"/>
            <w:vAlign w:val="center"/>
          </w:tcPr>
          <w:p>
            <w:pPr>
              <w:spacing w:after="0" w:before="0" w:line="240" w:lineRule="auto"/>
            </w:pPr>
            <w:r>
              <w:rPr>
                <w:color w:val="000000"/>
                <w:sz w:val="18"/>
                <w:highlight w:val="yellow"/>
              </w:rPr>
              <w:t xml:space="preserve">[version control, review, access]</w:t>
            </w:r>
          </w:p>
        </w:tc>
      </w:tr>
      <w:tr>
        <w:trPr>
          <w:cantSplit/>
        </w:trPr>
        <w:tc>
          <w:tcPr>
            <w:tcW w:type="dxa" w:w="2600"/>
            <w:vAlign w:val="center"/>
          </w:tcPr>
          <w:p>
            <w:pPr>
              <w:spacing w:after="0" w:before="0" w:line="240" w:lineRule="auto"/>
            </w:pPr>
            <w:r>
              <w:rPr>
                <w:b/>
                <w:color w:val="000000"/>
                <w:sz w:val="18"/>
                <w:highlight w:val="yellow"/>
              </w:rPr>
              <w:t xml:space="preserve">[other key file]</w:t>
            </w:r>
          </w:p>
        </w:tc>
        <w:tc>
          <w:tcPr>
            <w:tcW w:type="dxa" w:w="1500"/>
            <w:vAlign w:val="center"/>
          </w:tcPr>
          <w:p>
            <w:pPr>
              <w:spacing w:after="0" w:before="0" w:line="240" w:lineRule="auto"/>
            </w:pPr>
            <w:r>
              <w:rPr>
                <w:color w:val="000000"/>
                <w:sz w:val="18"/>
                <w:highlight w:val="yellow"/>
              </w:rPr>
              <w:t xml:space="preserve">[1 to 10]</w:t>
            </w:r>
          </w:p>
        </w:tc>
        <w:tc>
          <w:tcPr>
            <w:tcW w:type="dxa" w:w="3324"/>
            <w:vAlign w:val="center"/>
          </w:tcPr>
          <w:p>
            <w:pPr>
              <w:spacing w:after="0" w:before="0" w:line="240" w:lineRule="auto"/>
            </w:pPr>
            <w:r>
              <w:rPr>
                <w:color w:val="000000"/>
                <w:sz w:val="18"/>
                <w:highlight w:val="yellow"/>
              </w:rPr>
              <w:t xml:space="preserve">[what it calculates or holds]</w:t>
            </w:r>
          </w:p>
        </w:tc>
        <w:tc>
          <w:tcPr>
            <w:tcW w:type="dxa" w:w="1600"/>
            <w:vAlign w:val="center"/>
          </w:tcPr>
          <w:p>
            <w:pPr>
              <w:spacing w:after="0" w:before="0" w:line="240" w:lineRule="auto"/>
            </w:pPr>
            <w:r>
              <w:rPr>
                <w:color w:val="000000"/>
                <w:sz w:val="18"/>
                <w:highlight w:val="yellow"/>
              </w:rPr>
              <w:t xml:space="preserve">[name]</w:t>
            </w:r>
          </w:p>
        </w:tc>
        <w:tc>
          <w:tcPr>
            <w:tcW w:type="dxa" w:w="2400"/>
            <w:vAlign w:val="center"/>
          </w:tcPr>
          <w:p>
            <w:pPr>
              <w:spacing w:after="0" w:before="0" w:line="240" w:lineRule="auto"/>
            </w:pPr>
            <w:r>
              <w:rPr>
                <w:color w:val="000000"/>
                <w:sz w:val="18"/>
                <w:highlight w:val="yellow"/>
              </w:rPr>
              <w:t xml:space="preserve">[system or report]</w:t>
            </w:r>
          </w:p>
        </w:tc>
        <w:tc>
          <w:tcPr>
            <w:tcW w:type="dxa" w:w="2400"/>
            <w:vAlign w:val="center"/>
          </w:tcPr>
          <w:p>
            <w:pPr>
              <w:spacing w:after="0" w:before="0" w:line="240" w:lineRule="auto"/>
            </w:pPr>
            <w:r>
              <w:rPr>
                <w:color w:val="000000"/>
                <w:sz w:val="18"/>
                <w:highlight w:val="yellow"/>
              </w:rPr>
              <w:t xml:space="preserve">[version control, review, access]</w:t>
            </w:r>
          </w:p>
        </w:tc>
      </w:tr>
    </w:tbl>
    <w:p>
      <w:pPr>
        <w:pStyle w:val="Title"/>
        <w:pageBreakBefore/>
      </w:pPr>
      <w:r>
        <w:t>CFO office process guide</w:t>
      </w:r>
    </w:p>
    <w:p>
      <w:pPr>
        <w:pStyle w:val="Heading1"/>
      </w:pPr>
      <w:r>
        <w:t xml:space="preserve">Integrations and data exchanges</w:t>
      </w:r>
    </w:p>
    <w:p>
      <w:pPr>
        <w:spacing w:after="80"/>
      </w:pPr>
      <w:r>
        <w:t xml:space="preserve">Boxes show system categories and example record types; arrows show the exchanges defined on the next page. Several categories may sit in one application. Field names are illustrative until mapped to the actual source schemas, which is a task for each system owner </w:t>
      </w:r>
      <w:r>
        <w:rPr>
          <w:highlight w:val="yellow"/>
        </w:rPr>
        <w:t xml:space="preserve">[owner and date]</w:t>
      </w:r>
      <w:r>
        <w:t xml:space="preserve">.</w:t>
      </w:r>
    </w:p>
    <w:p>
      <w:pPr>
        <w:spacing w:after="60"/>
        <w:jc w:val="center"/>
      </w:pPr>
      <w:r>
        <w:drawing>
          <wp:inline distT="0" distB="0" distL="0" distR="0">
            <wp:extent cx="8778240" cy="5102352"/>
            <wp:effectExtent l="0" t="0" r="0" b="0"/>
            <wp:docPr id="2" name="Picture 2" descr="System categories T1 to T12 with exchanges E1 to E14. Master data feeds capture, accounting and HR; capture feeds commercial; commercial feeds accounting and tax; HR feeds accounting and treasury; treasury connects to the banks; all systems feed records and workflow."/>
            <wp:cNvGraphicFramePr>
              <a:graphicFrameLocks noChangeAspect="1"/>
            </wp:cNvGraphicFramePr>
            <a:graphic>
              <a:graphicData uri="http://schemas.openxmlformats.org/drawingml/2006/picture">
                <pic:pic>
                  <pic:nvPicPr>
                    <pic:cNvPr id="2" name="systems_landscape.png"/>
                    <pic:cNvPicPr/>
                  </pic:nvPicPr>
                  <pic:blipFill>
                    <a:blip r:embed="rId13"/>
                    <a:stretch>
                      <a:fillRect/>
                    </a:stretch>
                  </pic:blipFill>
                  <pic:spPr>
                    <a:xfrm>
                      <a:off x="0" y="0"/>
                      <a:ext cx="8778240" cy="5102352"/>
                    </a:xfrm>
                    <a:prstGeom prst="rect">
                      <a:avLst/>
                    </a:prstGeom>
                  </pic:spPr>
                </pic:pic>
              </a:graphicData>
            </a:graphic>
          </wp:inline>
        </w:drawing>
      </w:r>
    </w:p>
    <w:p>
      <w:r>
        <w:rPr>
          <w:b/>
          <w:sz w:val="20"/>
        </w:rPr>
        <w:t xml:space="preserve">Reading the diagram: </w:t>
      </w:r>
      <w:r>
        <w:rPr>
          <w:sz w:val="20"/>
        </w:rPr>
        <w:t xml:space="preserve">Solid arrows carry financial or operational records; dashed E10 carries tasks, approvals and exceptions. Grey boxes and E11 to E14 are new in this version. Every exchange runs under the access rules held in T13. Agents in Part C read these records with scoped access and write only to T6.</w:t>
      </w:r>
    </w:p>
    <w:p>
      <w:pPr>
        <w:pStyle w:val="Title"/>
        <w:pageBreakBefore/>
      </w:pPr>
      <w:r>
        <w:t>CFO office process guide</w:t>
      </w:r>
    </w:p>
    <w:p>
      <w:pPr>
        <w:pStyle w:val="Heading1"/>
      </w:pPr>
      <w:r>
        <w:t xml:space="preserve">Record exchange contracts and lineage</w:t>
      </w:r>
    </w:p>
    <w:p>
      <w:pPr>
        <w:spacing w:after="120"/>
      </w:pPr>
      <w:r>
        <w:rPr>
          <w:b/>
          <w:sz w:val="20"/>
        </w:rPr>
        <w:t xml:space="preserve">Record identity: </w:t>
      </w:r>
      <w:r>
        <w:rPr>
          <w:sz w:val="20"/>
        </w:rPr>
        <w:t>A record_ref combines source_system, entity_id, record_type and business_id, plus line_id where needed. Each exchange carries event_id, schema_version, source_version, as_of, effective_at, operation and task_id. Financial rows retain their amount, currency and accounting or forecast period.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5" w:type="dxa"/>
          <w:right w:w="95" w:type="dxa"/>
        </w:tblCellMar>
      </w:tblPr>
      <w:tblGrid>
        <w:gridCol w:w="1584"/>
        <w:gridCol w:w="3960"/>
        <w:gridCol w:w="8280"/>
      </w:tblGrid>
      <w:tr>
        <w:trPr>
          <w:tblHeader/>
        </w:trPr>
        <w:tc>
          <w:tcPr>
            <w:tcW w:type="dxa" w:w="1584"/>
            <w:shd w:fill="DCE6F1"/>
            <w:vAlign w:val="center"/>
          </w:tcPr>
          <w:p>
            <w:pPr>
              <w:spacing w:after="0" w:line="240" w:lineRule="auto"/>
            </w:pPr>
            <w:r>
              <w:rPr>
                <w:b/>
                <w:color w:val="000000"/>
                <w:sz w:val="20"/>
              </w:rPr>
              <w:t>Exchange</w:t>
            </w:r>
          </w:p>
        </w:tc>
        <w:tc>
          <w:tcPr>
            <w:tcW w:type="dxa" w:w="3960"/>
            <w:shd w:fill="DCE6F1"/>
            <w:vAlign w:val="center"/>
          </w:tcPr>
          <w:p>
            <w:pPr>
              <w:spacing w:after="0" w:line="240" w:lineRule="auto"/>
            </w:pPr>
            <w:r>
              <w:rPr>
                <w:b/>
                <w:color w:val="000000"/>
                <w:sz w:val="20"/>
              </w:rPr>
              <w:t>Records and grain</w:t>
            </w:r>
          </w:p>
        </w:tc>
        <w:tc>
          <w:tcPr>
            <w:tcW w:type="dxa" w:w="8280"/>
            <w:shd w:fill="DCE6F1"/>
            <w:vAlign w:val="center"/>
          </w:tcPr>
          <w:p>
            <w:pPr>
              <w:spacing w:after="0" w:line="240" w:lineRule="auto"/>
            </w:pPr>
            <w:r>
              <w:rPr>
                <w:b/>
                <w:color w:val="000000"/>
                <w:sz w:val="20"/>
              </w:rPr>
              <w:t>Key fields links and acceptance</w:t>
            </w:r>
          </w:p>
        </w:tc>
      </w:tr>
      <w:tr>
        <w:trPr>
          <w:cantSplit/>
        </w:trPr>
        <w:tc>
          <w:tcPr>
            <w:tcW w:type="dxa" w:w="1584"/>
            <w:vAlign w:val="center"/>
          </w:tcPr>
          <w:p>
            <w:pPr>
              <w:spacing w:after="0" w:line="240" w:lineRule="auto"/>
            </w:pPr>
            <w:r>
              <w:rPr>
                <w:b/>
                <w:color w:val="000000"/>
                <w:sz w:val="20"/>
              </w:rPr>
              <w:t>E1</w:t>
              <w:br/>
              <w:t>T2 to T1</w:t>
            </w:r>
          </w:p>
        </w:tc>
        <w:tc>
          <w:tcPr>
            <w:tcW w:type="dxa" w:w="3960"/>
            <w:vAlign w:val="center"/>
          </w:tcPr>
          <w:p>
            <w:pPr>
              <w:spacing w:after="0" w:line="240" w:lineRule="auto"/>
            </w:pPr>
            <w:r>
              <w:rPr>
                <w:color w:val="000000"/>
                <w:sz w:val="20"/>
              </w:rPr>
              <w:t>InvoiceLine and MatchLink</w:t>
              <w:br/>
              <w:t>One invoice line; one link per matched order or receipt line.</w:t>
            </w:r>
          </w:p>
        </w:tc>
        <w:tc>
          <w:tcPr>
            <w:tcW w:type="dxa" w:w="8280"/>
            <w:vAlign w:val="center"/>
          </w:tcPr>
          <w:p>
            <w:pPr>
              <w:spacing w:after="0" w:line="240" w:lineRule="auto"/>
            </w:pPr>
            <w:r>
              <w:rPr>
                <w:color w:val="000000"/>
                <w:sz w:val="20"/>
              </w:rPr>
              <w:t>invoice_id, line_id, party_id, AR_or_AP, order_line_ref, receipt_ref, matched_qty, net_amount, tax_amount, tax_code, due_date, approval_ref. MatchLink supports partial receipts and multiple matches; approved accounting rules determine posting.</w:t>
            </w:r>
          </w:p>
        </w:tc>
      </w:tr>
      <w:tr>
        <w:trPr>
          <w:cantSplit/>
        </w:trPr>
        <w:tc>
          <w:tcPr>
            <w:tcW w:type="dxa" w:w="1584"/>
            <w:vAlign w:val="center"/>
          </w:tcPr>
          <w:p>
            <w:pPr>
              <w:spacing w:after="0" w:line="240" w:lineRule="auto"/>
            </w:pPr>
            <w:r>
              <w:rPr>
                <w:b/>
                <w:color w:val="000000"/>
                <w:sz w:val="20"/>
              </w:rPr>
              <w:t>E2</w:t>
              <w:br/>
              <w:t>T7 to T1</w:t>
            </w:r>
          </w:p>
        </w:tc>
        <w:tc>
          <w:tcPr>
            <w:tcW w:type="dxa" w:w="3960"/>
            <w:vAlign w:val="center"/>
          </w:tcPr>
          <w:p>
            <w:pPr>
              <w:spacing w:after="0" w:line="240" w:lineRule="auto"/>
            </w:pPr>
            <w:r>
              <w:rPr>
                <w:color w:val="000000"/>
                <w:sz w:val="20"/>
              </w:rPr>
              <w:t>PayrollPostingLine, InventoryMovement and AssetEvent</w:t>
              <w:br/>
              <w:t>One source posting line or event.</w:t>
            </w:r>
          </w:p>
        </w:tc>
        <w:tc>
          <w:tcPr>
            <w:tcW w:type="dxa" w:w="8280"/>
            <w:vAlign w:val="center"/>
          </w:tcPr>
          <w:p>
            <w:pPr>
              <w:spacing w:after="0" w:line="240" w:lineRule="auto"/>
            </w:pPr>
            <w:r>
              <w:rPr>
                <w:color w:val="000000"/>
                <w:sz w:val="20"/>
              </w:rPr>
              <w:t>source_record_id, source_version, period, cost_centre, account_mapping, amount; inventory_id or asset_id where relevant. Send the authorised finance posting grain and supporting references; payroll need not expose individual employee records.</w:t>
            </w:r>
          </w:p>
        </w:tc>
      </w:tr>
      <w:tr>
        <w:trPr>
          <w:cantSplit/>
        </w:trPr>
        <w:tc>
          <w:tcPr>
            <w:tcW w:type="dxa" w:w="1584"/>
            <w:vAlign w:val="center"/>
          </w:tcPr>
          <w:p>
            <w:pPr>
              <w:spacing w:after="0" w:line="240" w:lineRule="auto"/>
            </w:pPr>
            <w:r>
              <w:rPr>
                <w:b/>
                <w:color w:val="000000"/>
                <w:sz w:val="20"/>
              </w:rPr>
              <w:t>E3 and E4</w:t>
              <w:br/>
              <w:t>T1 and T4</w:t>
            </w:r>
          </w:p>
        </w:tc>
        <w:tc>
          <w:tcPr>
            <w:tcW w:type="dxa" w:w="3960"/>
            <w:vAlign w:val="center"/>
          </w:tcPr>
          <w:p>
            <w:pPr>
              <w:spacing w:after="0" w:line="240" w:lineRule="auto"/>
            </w:pPr>
            <w:r>
              <w:rPr>
                <w:color w:val="000000"/>
                <w:sz w:val="20"/>
              </w:rPr>
              <w:t>OpenItem to T4; BankTxn and SettlementAllocation to T1.</w:t>
              <w:br/>
              <w:t>One item, bank entry or allocation link.</w:t>
            </w:r>
          </w:p>
        </w:tc>
        <w:tc>
          <w:tcPr>
            <w:tcW w:type="dxa" w:w="8280"/>
            <w:vAlign w:val="center"/>
          </w:tcPr>
          <w:p>
            <w:pPr>
              <w:spacing w:after="0" w:line="240" w:lineRule="auto"/>
            </w:pPr>
            <w:r>
              <w:rPr>
                <w:color w:val="000000"/>
                <w:sz w:val="20"/>
              </w:rPr>
              <w:t>item_id, invoice_ref, due_date, open_amount, hold_status; bank_txn_id, value_date, amount. Allocation links carry bank_txn_ref, open_item_ref, allocated_amount, allocation_currency and FX_ref if needed. Many-to-many links support split and partial settlements.</w:t>
            </w:r>
          </w:p>
        </w:tc>
      </w:tr>
      <w:tr>
        <w:trPr>
          <w:cantSplit/>
        </w:trPr>
        <w:tc>
          <w:tcPr>
            <w:tcW w:type="dxa" w:w="1584"/>
            <w:vAlign w:val="center"/>
          </w:tcPr>
          <w:p>
            <w:pPr>
              <w:spacing w:after="0" w:line="240" w:lineRule="auto"/>
            </w:pPr>
            <w:r>
              <w:rPr>
                <w:b/>
                <w:color w:val="000000"/>
                <w:sz w:val="20"/>
              </w:rPr>
              <w:t>E5</w:t>
              <w:br/>
              <w:t>T1 to T3</w:t>
            </w:r>
          </w:p>
        </w:tc>
        <w:tc>
          <w:tcPr>
            <w:tcW w:type="dxa" w:w="3960"/>
            <w:vAlign w:val="center"/>
          </w:tcPr>
          <w:p>
            <w:pPr>
              <w:spacing w:after="0" w:line="240" w:lineRule="auto"/>
            </w:pPr>
            <w:r>
              <w:rPr>
                <w:color w:val="000000"/>
                <w:sz w:val="20"/>
              </w:rPr>
              <w:t>JournalLine or BalanceSnapshotLine</w:t>
              <w:br/>
              <w:t>One journal line, or one balance per declared reporting grain.</w:t>
            </w:r>
          </w:p>
        </w:tc>
        <w:tc>
          <w:tcPr>
            <w:tcW w:type="dxa" w:w="8280"/>
            <w:vAlign w:val="center"/>
          </w:tcPr>
          <w:p>
            <w:pPr>
              <w:spacing w:after="0" w:line="240" w:lineRule="auto"/>
            </w:pPr>
            <w:r>
              <w:rPr>
                <w:color w:val="000000"/>
                <w:sz w:val="20"/>
              </w:rPr>
              <w:t>journal_id, line_id, account_id, dimension_ids, period, debit, credit; or snapshot_id, ledger_id, grain, balance, close_version. Snapshot lineage links to contributing journal lines. Only reconcile and compare records at compatible scope and currency; preserve preliminary or closed status.</w:t>
            </w:r>
          </w:p>
        </w:tc>
      </w:tr>
      <w:tr>
        <w:trPr>
          <w:cantSplit/>
        </w:trPr>
        <w:tc>
          <w:tcPr>
            <w:tcW w:type="dxa" w:w="1584"/>
            <w:vAlign w:val="center"/>
          </w:tcPr>
          <w:p>
            <w:pPr>
              <w:spacing w:after="0" w:line="240" w:lineRule="auto"/>
            </w:pPr>
            <w:r>
              <w:rPr>
                <w:b/>
                <w:color w:val="000000"/>
                <w:sz w:val="20"/>
              </w:rPr>
              <w:t>E6</w:t>
              <w:br/>
              <w:t>T1 and T5</w:t>
            </w:r>
          </w:p>
        </w:tc>
        <w:tc>
          <w:tcPr>
            <w:tcW w:type="dxa" w:w="3960"/>
            <w:vAlign w:val="center"/>
          </w:tcPr>
          <w:p>
            <w:pPr>
              <w:spacing w:after="0" w:line="240" w:lineRule="auto"/>
            </w:pPr>
            <w:r>
              <w:rPr>
                <w:color w:val="000000"/>
                <w:sz w:val="20"/>
              </w:rPr>
              <w:t>Invoice and trial-balance records to tax; reviewed ProvisionJournalLine back.</w:t>
              <w:br/>
              <w:t>One tax calculation line or journal line.</w:t>
            </w:r>
          </w:p>
        </w:tc>
        <w:tc>
          <w:tcPr>
            <w:tcW w:type="dxa" w:w="8280"/>
            <w:vAlign w:val="center"/>
          </w:tcPr>
          <w:p>
            <w:pPr>
              <w:spacing w:after="0" w:line="240" w:lineRule="auto"/>
            </w:pPr>
            <w:r>
              <w:rPr>
                <w:color w:val="000000"/>
                <w:sz w:val="20"/>
              </w:rPr>
              <w:t>tax_calc_id, source_record_refs, jurisdiction, tax_type, basis_amount, tax_amount, method_version, period. The returned provision carries journal lines, calculation references and approval_ref. Tax specialists review treatment; authorised accounting staff post.</w:t>
            </w:r>
          </w:p>
        </w:tc>
      </w:tr>
      <w:tr>
        <w:trPr>
          <w:cantSplit/>
        </w:trPr>
        <w:tc>
          <w:tcPr>
            <w:tcW w:type="dxa" w:w="1584"/>
            <w:vAlign w:val="center"/>
          </w:tcPr>
          <w:p>
            <w:pPr>
              <w:spacing w:after="0" w:line="240" w:lineRule="auto"/>
            </w:pPr>
            <w:r>
              <w:rPr>
                <w:b/>
                <w:color w:val="000000"/>
                <w:sz w:val="20"/>
              </w:rPr>
              <w:t>E7</w:t>
              <w:br/>
              <w:t>T3 and T4</w:t>
            </w:r>
          </w:p>
        </w:tc>
        <w:tc>
          <w:tcPr>
            <w:tcW w:type="dxa" w:w="3960"/>
            <w:vAlign w:val="center"/>
          </w:tcPr>
          <w:p>
            <w:pPr>
              <w:spacing w:after="0" w:line="240" w:lineRule="auto"/>
            </w:pPr>
            <w:r>
              <w:rPr>
                <w:color w:val="000000"/>
                <w:sz w:val="20"/>
              </w:rPr>
              <w:t>ForecastLine and CapitalCommitment to treasury; CashForecastLine back to planning.</w:t>
              <w:br/>
              <w:t>One versioned forecast line or commitment.</w:t>
            </w:r>
          </w:p>
        </w:tc>
        <w:tc>
          <w:tcPr>
            <w:tcW w:type="dxa" w:w="8280"/>
            <w:vAlign w:val="center"/>
          </w:tcPr>
          <w:p>
            <w:pPr>
              <w:spacing w:after="0" w:line="240" w:lineRule="auto"/>
            </w:pPr>
            <w:r>
              <w:rPr>
                <w:color w:val="000000"/>
                <w:sz w:val="20"/>
              </w:rPr>
              <w:t>forecast_version, scenario_id, line_id, entity_id, period, amount; case_id, commitment_id, due_date, approved_amount; cash_forecast_version, expected_date, certainty, source_record_ref. Link converted commitments to orders so the same cash need is not counted twice.</w:t>
            </w:r>
          </w:p>
        </w:tc>
      </w:tr>
      <w:tr>
        <w:trPr>
          <w:cantSplit/>
        </w:trPr>
        <w:tc>
          <w:tcPr>
            <w:tcW w:type="dxa" w:w="1584"/>
            <w:vAlign w:val="center"/>
          </w:tcPr>
          <w:p>
            <w:pPr>
              <w:spacing w:after="0" w:line="240" w:lineRule="auto"/>
            </w:pPr>
            <w:r>
              <w:rPr>
                <w:b/>
                <w:color w:val="000000"/>
                <w:sz w:val="20"/>
              </w:rPr>
              <w:t>E8</w:t>
              <w:br/>
              <w:t>T5 and T4</w:t>
            </w:r>
          </w:p>
        </w:tc>
        <w:tc>
          <w:tcPr>
            <w:tcW w:type="dxa" w:w="3960"/>
            <w:vAlign w:val="center"/>
          </w:tcPr>
          <w:p>
            <w:pPr>
              <w:spacing w:after="0" w:line="240" w:lineRule="auto"/>
            </w:pPr>
            <w:r>
              <w:rPr>
                <w:color w:val="000000"/>
                <w:sz w:val="20"/>
              </w:rPr>
              <w:t>TaxPaymentRequest</w:t>
              <w:br/>
              <w:t>One approved tax payment obligation.</w:t>
            </w:r>
          </w:p>
        </w:tc>
        <w:tc>
          <w:tcPr>
            <w:tcW w:type="dxa" w:w="8280"/>
            <w:vAlign w:val="center"/>
          </w:tcPr>
          <w:p>
            <w:pPr>
              <w:spacing w:after="0" w:line="240" w:lineRule="auto"/>
            </w:pPr>
            <w:r>
              <w:rPr>
                <w:color w:val="000000"/>
                <w:sz w:val="20"/>
              </w:rPr>
              <w:t>request_id, tax_calc_ref or return_ref, entity_id, due_date, amount, currency, approval_ref, status. Treasury returns the payment reference and confirmed outcome. A request remains distinct from a settled bank transaction.</w:t>
            </w:r>
          </w:p>
        </w:tc>
      </w:tr>
      <w:tr>
        <w:trPr>
          <w:cantSplit/>
        </w:trPr>
        <w:tc>
          <w:tcPr>
            <w:tcW w:type="dxa" w:w="1584"/>
            <w:vAlign w:val="center"/>
          </w:tcPr>
          <w:p>
            <w:pPr>
              <w:spacing w:after="0" w:line="240" w:lineRule="auto"/>
            </w:pPr>
            <w:r>
              <w:rPr>
                <w:b/>
                <w:color w:val="000000"/>
                <w:sz w:val="20"/>
              </w:rPr>
              <w:t>E9</w:t>
              <w:br/>
              <w:t>T1 T3 T4 T5</w:t>
              <w:br/>
              <w:t>to T6</w:t>
            </w:r>
          </w:p>
        </w:tc>
        <w:tc>
          <w:tcPr>
            <w:tcW w:type="dxa" w:w="3960"/>
            <w:vAlign w:val="center"/>
          </w:tcPr>
          <w:p>
            <w:pPr>
              <w:spacing w:after="0" w:line="240" w:lineRule="auto"/>
            </w:pPr>
            <w:r>
              <w:rPr>
                <w:color w:val="000000"/>
                <w:sz w:val="20"/>
              </w:rPr>
              <w:t>ReportCell and EvidenceLink</w:t>
              <w:br/>
              <w:t>One reporting cell; one source or drill-through link.</w:t>
            </w:r>
          </w:p>
        </w:tc>
        <w:tc>
          <w:tcPr>
            <w:tcW w:type="dxa" w:w="8280"/>
            <w:vAlign w:val="center"/>
          </w:tcPr>
          <w:p>
            <w:pPr>
              <w:spacing w:after="0" w:line="240" w:lineRule="auto"/>
            </w:pPr>
            <w:r>
              <w:rPr>
                <w:color w:val="000000"/>
                <w:sz w:val="20"/>
              </w:rPr>
              <w:t>pack_id, report_version, cell_id, measure_id, period, scenario, value, currency. EvidenceLink carries source_record_ref, source_version, transform_version and contribution where additive. The FIN-10 playbook (PB-10) retains drill-through to the accepted ledger, forecast, cash or tax records.</w:t>
            </w:r>
          </w:p>
        </w:tc>
      </w:tr>
      <w:tr>
        <w:trPr>
          <w:cantSplit/>
        </w:trPr>
        <w:tc>
          <w:tcPr>
            <w:tcW w:type="dxa" w:w="1584"/>
            <w:vAlign w:val="center"/>
          </w:tcPr>
          <w:p>
            <w:pPr>
              <w:spacing w:after="0" w:line="240" w:lineRule="auto"/>
            </w:pPr>
            <w:r>
              <w:rPr>
                <w:b/>
                <w:color w:val="000000"/>
                <w:sz w:val="20"/>
              </w:rPr>
              <w:t>E10</w:t>
              <w:br/>
              <w:t>T6 and all</w:t>
            </w:r>
          </w:p>
        </w:tc>
        <w:tc>
          <w:tcPr>
            <w:tcW w:type="dxa" w:w="3960"/>
            <w:vAlign w:val="center"/>
          </w:tcPr>
          <w:p>
            <w:pPr>
              <w:spacing w:after="0" w:line="240" w:lineRule="auto"/>
            </w:pPr>
            <w:r>
              <w:rPr>
                <w:color w:val="000000"/>
                <w:sz w:val="20"/>
              </w:rPr>
              <w:t>AgentTask, Approval and Exception</w:t>
              <w:br/>
              <w:t>One task, approval decision or issue.</w:t>
            </w:r>
          </w:p>
        </w:tc>
        <w:tc>
          <w:tcPr>
            <w:tcW w:type="dxa" w:w="8280"/>
            <w:vAlign w:val="center"/>
          </w:tcPr>
          <w:p>
            <w:pPr>
              <w:spacing w:after="0" w:line="240" w:lineRule="auto"/>
            </w:pPr>
            <w:r>
              <w:rPr>
                <w:color w:val="000000"/>
                <w:sz w:val="20"/>
              </w:rPr>
              <w:t>task_id, agent_role, process_id, record_refs, owner, status; approval_id, object_ref, object_version, decision, approver, timestamp; exception_id, reason, resolution_ref. Approval binds that object version; the workflow engine tracks completion. Only named humans record approvals; no agent identity can approve.</w:t>
            </w:r>
          </w:p>
        </w:tc>
      </w:tr>
      <w:tr>
        <w:trPr>
          <w:cantSplit/>
        </w:trPr>
        <w:tc>
          <w:tcPr>
            <w:tcW w:type="dxa" w:w="1584"/>
            <w:vAlign w:val="center"/>
          </w:tcPr>
          <w:p>
            <w:pPr>
              <w:spacing w:after="0" w:before="0" w:line="240" w:lineRule="auto"/>
            </w:pPr>
            <w:r>
              <w:rPr>
                <w:b/>
                <w:color w:val="000000"/>
                <w:sz w:val="20"/>
              </w:rPr>
              <w:t xml:space="preserve">E11</w:t>
            </w:r>
          </w:p>
          <w:p>
            <w:pPr>
              <w:spacing w:after="0" w:before="0" w:line="240" w:lineRule="auto"/>
            </w:pPr>
            <w:r>
              <w:rPr>
                <w:b/>
                <w:color w:val="000000"/>
                <w:sz w:val="20"/>
              </w:rPr>
              <w:t xml:space="preserve">T2 to T5</w:t>
            </w:r>
          </w:p>
        </w:tc>
        <w:tc>
          <w:tcPr>
            <w:tcW w:type="dxa" w:w="3960"/>
            <w:vAlign w:val="center"/>
          </w:tcPr>
          <w:p>
            <w:pPr>
              <w:spacing w:after="0" w:before="0" w:line="240" w:lineRule="auto"/>
            </w:pPr>
            <w:r>
              <w:rPr>
                <w:color w:val="000000"/>
                <w:sz w:val="20"/>
              </w:rPr>
              <w:t xml:space="preserve">InvoiceLine tax detail</w:t>
            </w:r>
          </w:p>
          <w:p>
            <w:pPr>
              <w:spacing w:after="0" w:before="0" w:line="240" w:lineRule="auto"/>
            </w:pPr>
            <w:r>
              <w:rPr>
                <w:color w:val="000000"/>
                <w:sz w:val="20"/>
              </w:rPr>
              <w:t xml:space="preserve">One invoice line.</w:t>
            </w:r>
          </w:p>
        </w:tc>
        <w:tc>
          <w:tcPr>
            <w:tcW w:type="dxa" w:w="8280"/>
            <w:vAlign w:val="center"/>
          </w:tcPr>
          <w:p>
            <w:pPr>
              <w:spacing w:after="0" w:before="0" w:line="240" w:lineRule="auto"/>
            </w:pPr>
            <w:r>
              <w:rPr>
                <w:color w:val="000000"/>
                <w:sz w:val="20"/>
              </w:rPr>
              <w:t xml:space="preserve">invoice_id, line_id, party_id, tax_code, tax_point_date, net_amount, tax_amount, jurisdiction. Feeds the VAT return. VAT is determined in the Cloud ERP.</w:t>
            </w:r>
          </w:p>
        </w:tc>
      </w:tr>
      <w:tr>
        <w:trPr>
          <w:cantSplit/>
        </w:trPr>
        <w:tc>
          <w:tcPr>
            <w:tcW w:type="dxa" w:w="1584"/>
            <w:vAlign w:val="center"/>
          </w:tcPr>
          <w:p>
            <w:pPr>
              <w:spacing w:after="0" w:before="0" w:line="240" w:lineRule="auto"/>
            </w:pPr>
            <w:r>
              <w:rPr>
                <w:b/>
                <w:color w:val="000000"/>
                <w:sz w:val="20"/>
              </w:rPr>
              <w:t xml:space="preserve">E12</w:t>
            </w:r>
          </w:p>
          <w:p>
            <w:pPr>
              <w:spacing w:after="0" w:before="0" w:line="240" w:lineRule="auto"/>
            </w:pPr>
            <w:r>
              <w:rPr>
                <w:b/>
                <w:color w:val="000000"/>
                <w:sz w:val="20"/>
              </w:rPr>
              <w:t xml:space="preserve">T7 to T10</w:t>
            </w:r>
          </w:p>
        </w:tc>
        <w:tc>
          <w:tcPr>
            <w:tcW w:type="dxa" w:w="3960"/>
            <w:vAlign w:val="center"/>
          </w:tcPr>
          <w:p>
            <w:pPr>
              <w:spacing w:after="0" w:before="0" w:line="240" w:lineRule="auto"/>
            </w:pPr>
            <w:r>
              <w:rPr>
                <w:color w:val="000000"/>
                <w:sz w:val="20"/>
              </w:rPr>
              <w:t xml:space="preserve">PayrollPaymentBatch</w:t>
            </w:r>
          </w:p>
          <w:p>
            <w:pPr>
              <w:spacing w:after="0" w:before="0" w:line="240" w:lineRule="auto"/>
            </w:pPr>
            <w:r>
              <w:rPr>
                <w:color w:val="000000"/>
                <w:sz w:val="20"/>
              </w:rPr>
              <w:t xml:space="preserve">One payment batch, not individual payslips.</w:t>
            </w:r>
          </w:p>
        </w:tc>
        <w:tc>
          <w:tcPr>
            <w:tcW w:type="dxa" w:w="8280"/>
            <w:vAlign w:val="center"/>
          </w:tcPr>
          <w:p>
            <w:pPr>
              <w:spacing w:after="0" w:before="0" w:line="240" w:lineRule="auto"/>
            </w:pPr>
            <w:r>
              <w:rPr>
                <w:color w:val="000000"/>
                <w:sz w:val="20"/>
              </w:rPr>
              <w:t xml:space="preserve">batch_id, pay_date, total_amount, item_count, approval_ref, bank_file_ref. Payroll is run by an external bureau </w:t>
            </w:r>
            <w:r>
              <w:rPr>
                <w:color w:val="000000"/>
                <w:sz w:val="20"/>
                <w:highlight w:val="yellow"/>
              </w:rPr>
              <w:t xml:space="preserve">[confirm whether the bureau or the company submits the Bacs payment]</w:t>
            </w:r>
            <w:r>
              <w:rPr>
                <w:color w:val="000000"/>
                <w:sz w:val="20"/>
              </w:rPr>
              <w:t xml:space="preserve">. Treasury sees totals for funding; individual employee payments stay with the bureau.</w:t>
            </w:r>
          </w:p>
        </w:tc>
      </w:tr>
      <w:tr>
        <w:trPr>
          <w:cantSplit/>
        </w:trPr>
        <w:tc>
          <w:tcPr>
            <w:tcW w:type="dxa" w:w="1584"/>
            <w:vAlign w:val="center"/>
          </w:tcPr>
          <w:p>
            <w:pPr>
              <w:spacing w:after="0" w:before="0" w:line="240" w:lineRule="auto"/>
            </w:pPr>
            <w:r>
              <w:rPr>
                <w:b/>
                <w:color w:val="000000"/>
                <w:sz w:val="20"/>
              </w:rPr>
              <w:t xml:space="preserve">E13</w:t>
            </w:r>
          </w:p>
          <w:p>
            <w:pPr>
              <w:spacing w:after="0" w:before="0" w:line="240" w:lineRule="auto"/>
            </w:pPr>
            <w:r>
              <w:rPr>
                <w:b/>
                <w:color w:val="000000"/>
                <w:sz w:val="20"/>
              </w:rPr>
              <w:t xml:space="preserve">T8 to T1 T2 T7 T9</w:t>
            </w:r>
          </w:p>
        </w:tc>
        <w:tc>
          <w:tcPr>
            <w:tcW w:type="dxa" w:w="3960"/>
            <w:vAlign w:val="center"/>
          </w:tcPr>
          <w:p>
            <w:pPr>
              <w:spacing w:after="0" w:before="0" w:line="240" w:lineRule="auto"/>
            </w:pPr>
            <w:r>
              <w:rPr>
                <w:color w:val="000000"/>
                <w:sz w:val="20"/>
              </w:rPr>
              <w:t xml:space="preserve">MasterRecordChange</w:t>
            </w:r>
          </w:p>
          <w:p>
            <w:pPr>
              <w:spacing w:after="0" w:before="0" w:line="240" w:lineRule="auto"/>
            </w:pPr>
            <w:r>
              <w:rPr>
                <w:color w:val="000000"/>
                <w:sz w:val="20"/>
              </w:rPr>
              <w:t xml:space="preserve">One change to a customer, supplier, account, cost centre or entity.</w:t>
            </w:r>
          </w:p>
        </w:tc>
        <w:tc>
          <w:tcPr>
            <w:tcW w:type="dxa" w:w="8280"/>
            <w:vAlign w:val="center"/>
          </w:tcPr>
          <w:p>
            <w:pPr>
              <w:spacing w:after="0" w:before="0" w:line="240" w:lineRule="auto"/>
            </w:pPr>
            <w:r>
              <w:rPr>
                <w:color w:val="000000"/>
                <w:sz w:val="20"/>
              </w:rPr>
              <w:t xml:space="preserve">master_id, record_type, field, new_value, effective_from, requested_by, approved_by, verification_ref. Bank-detail changes carry the independent call-back verification reference.</w:t>
            </w:r>
          </w:p>
        </w:tc>
      </w:tr>
      <w:tr>
        <w:trPr>
          <w:cantSplit/>
        </w:trPr>
        <w:tc>
          <w:tcPr>
            <w:tcW w:type="dxa" w:w="1584"/>
            <w:vAlign w:val="center"/>
          </w:tcPr>
          <w:p>
            <w:pPr>
              <w:spacing w:after="0" w:before="0" w:line="240" w:lineRule="auto"/>
            </w:pPr>
            <w:r>
              <w:rPr>
                <w:b/>
                <w:color w:val="000000"/>
                <w:sz w:val="20"/>
              </w:rPr>
              <w:t xml:space="preserve">E14</w:t>
            </w:r>
          </w:p>
          <w:p>
            <w:pPr>
              <w:spacing w:after="0" w:before="0" w:line="240" w:lineRule="auto"/>
            </w:pPr>
            <w:r>
              <w:rPr>
                <w:b/>
                <w:color w:val="000000"/>
                <w:sz w:val="20"/>
              </w:rPr>
              <w:t xml:space="preserve">T9 to T2</w:t>
            </w:r>
          </w:p>
        </w:tc>
        <w:tc>
          <w:tcPr>
            <w:tcW w:type="dxa" w:w="3960"/>
            <w:vAlign w:val="center"/>
          </w:tcPr>
          <w:p>
            <w:pPr>
              <w:spacing w:after="0" w:before="0" w:line="240" w:lineRule="auto"/>
            </w:pPr>
            <w:r>
              <w:rPr>
                <w:color w:val="000000"/>
                <w:sz w:val="20"/>
              </w:rPr>
              <w:t xml:space="preserve">CapturedDocument</w:t>
            </w:r>
          </w:p>
          <w:p>
            <w:pPr>
              <w:spacing w:after="0" w:before="0" w:line="240" w:lineRule="auto"/>
            </w:pPr>
            <w:r>
              <w:rPr>
                <w:color w:val="000000"/>
                <w:sz w:val="20"/>
              </w:rPr>
              <w:t xml:space="preserve">One received invoice, remittance or statement.</w:t>
            </w:r>
          </w:p>
        </w:tc>
        <w:tc>
          <w:tcPr>
            <w:tcW w:type="dxa" w:w="8280"/>
            <w:vAlign w:val="center"/>
          </w:tcPr>
          <w:p>
            <w:pPr>
              <w:spacing w:after="0" w:before="0" w:line="240" w:lineRule="auto"/>
            </w:pPr>
            <w:r>
              <w:rPr>
                <w:color w:val="000000"/>
                <w:sz w:val="20"/>
              </w:rPr>
              <w:t xml:space="preserve">document_id, channel, received_at, sender, extracted_fields, extraction_confidence, duplicate_check_ref. Content is untrusted: extracted text never acts as an instruction to any system or agent.</w:t>
            </w:r>
          </w:p>
        </w:tc>
      </w:tr>
    </w:tbl>
    <w:p>
      <w:pPr>
        <w:spacing w:after="0" w:before="100"/>
      </w:pPr>
      <w:r>
        <w:rPr>
          <w:b/>
          <w:sz w:val="20"/>
        </w:rPr>
        <w:t xml:space="preserve">Receive and reconcile: </w:t>
      </w:r>
      <w:r>
        <w:rPr>
          <w:sz w:val="20"/>
        </w:rPr>
        <w:t>Validate record links, row counts and control totals by entity and currency. Acknowledge the target record and version. Reuse event_id on retries; link reversals to the original record. Reject stale approvals and unresolved duplicates before execution.</w:t>
      </w:r>
    </w:p>
    <w:p>
      <w:pPr>
        <w:pStyle w:val="Title"/>
        <w:pageBreakBefore/>
      </w:pPr>
      <w:r>
        <w:t>CFO office process guide</w:t>
      </w:r>
    </w:p>
    <w:p>
      <w:pPr>
        <w:pStyle w:val="Heading1"/>
      </w:pPr>
      <w:r>
        <w:t xml:space="preserve">Integration register</w:t>
      </w:r>
    </w:p>
    <w:p>
      <w:pPr>
        <w:spacing w:after="120"/>
      </w:pPr>
      <w:r>
        <w:t xml:space="preserve">How each exchange actually runs today. Manual and re-keyed exchanges are the first candidates for fixing, before any agent work.</w:t>
      </w:r>
    </w:p>
    <w:tbl>
      <w:tblPr>
        <w:tblW w:type="dxa" w:w="138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500"/>
        <w:gridCol w:w="3600"/>
        <w:gridCol w:w="2400"/>
        <w:gridCol w:w="2000"/>
        <w:gridCol w:w="4324"/>
      </w:tblGrid>
      <w:tr>
        <w:trPr>
          <w:tblHeader/>
        </w:trPr>
        <w:tc>
          <w:tcPr>
            <w:tcW w:type="dxa" w:w="1500"/>
            <w:shd w:val="clear" w:color="auto" w:fill="DCE6F1"/>
            <w:vAlign w:val="center"/>
          </w:tcPr>
          <w:p>
            <w:pPr>
              <w:spacing w:after="0" w:before="0" w:line="240" w:lineRule="auto"/>
            </w:pPr>
            <w:r>
              <w:rPr>
                <w:b/>
                <w:color w:val="000000"/>
                <w:sz w:val="18"/>
              </w:rPr>
              <w:t xml:space="preserve">Exchange</w:t>
            </w:r>
          </w:p>
        </w:tc>
        <w:tc>
          <w:tcPr>
            <w:tcW w:type="dxa" w:w="3600"/>
            <w:shd w:val="clear" w:color="auto" w:fill="DCE6F1"/>
            <w:vAlign w:val="center"/>
          </w:tcPr>
          <w:p>
            <w:pPr>
              <w:spacing w:after="0" w:before="0" w:line="240" w:lineRule="auto"/>
            </w:pPr>
            <w:r>
              <w:rPr>
                <w:b/>
                <w:color w:val="000000"/>
                <w:sz w:val="18"/>
              </w:rPr>
              <w:t xml:space="preserve">Mechanism today</w:t>
            </w:r>
          </w:p>
        </w:tc>
        <w:tc>
          <w:tcPr>
            <w:tcW w:type="dxa" w:w="2400"/>
            <w:shd w:val="clear" w:color="auto" w:fill="DCE6F1"/>
            <w:vAlign w:val="center"/>
          </w:tcPr>
          <w:p>
            <w:pPr>
              <w:spacing w:after="0" w:before="0" w:line="240" w:lineRule="auto"/>
            </w:pPr>
            <w:r>
              <w:rPr>
                <w:b/>
                <w:color w:val="000000"/>
                <w:sz w:val="18"/>
              </w:rPr>
              <w:t xml:space="preserve">Frequency</w:t>
            </w:r>
          </w:p>
        </w:tc>
        <w:tc>
          <w:tcPr>
            <w:tcW w:type="dxa" w:w="2000"/>
            <w:shd w:val="clear" w:color="auto" w:fill="DCE6F1"/>
            <w:vAlign w:val="center"/>
          </w:tcPr>
          <w:p>
            <w:pPr>
              <w:spacing w:after="0" w:before="0" w:line="240" w:lineRule="auto"/>
            </w:pPr>
            <w:r>
              <w:rPr>
                <w:b/>
                <w:color w:val="000000"/>
                <w:sz w:val="18"/>
              </w:rPr>
              <w:t xml:space="preserve">Owner</w:t>
            </w:r>
          </w:p>
        </w:tc>
        <w:tc>
          <w:tcPr>
            <w:tcW w:type="dxa" w:w="4324"/>
            <w:shd w:val="clear" w:color="auto" w:fill="DCE6F1"/>
            <w:vAlign w:val="center"/>
          </w:tcPr>
          <w:p>
            <w:pPr>
              <w:spacing w:after="0" w:before="0" w:line="240" w:lineRule="auto"/>
            </w:pPr>
            <w:r>
              <w:rPr>
                <w:b/>
                <w:color w:val="000000"/>
                <w:sz w:val="18"/>
              </w:rPr>
              <w:t xml:space="preserve">Known issues</w:t>
            </w:r>
          </w:p>
        </w:tc>
      </w:tr>
      <w:tr>
        <w:trPr>
          <w:cantSplit/>
        </w:trPr>
        <w:tc>
          <w:tcPr>
            <w:tcW w:type="dxa" w:w="1500"/>
            <w:vAlign w:val="center"/>
          </w:tcPr>
          <w:p>
            <w:pPr>
              <w:spacing w:after="0" w:before="0" w:line="240" w:lineRule="auto"/>
            </w:pPr>
            <w:r>
              <w:rPr>
                <w:b/>
                <w:color w:val="000000"/>
                <w:sz w:val="18"/>
              </w:rPr>
              <w:t xml:space="preserve">E1</w:t>
            </w:r>
          </w:p>
        </w:tc>
        <w:tc>
          <w:tcPr>
            <w:tcW w:type="dxa" w:w="3600"/>
            <w:vAlign w:val="center"/>
          </w:tcPr>
          <w:p>
            <w:pPr>
              <w:spacing w:after="0" w:before="0" w:line="240" w:lineRule="auto"/>
            </w:pPr>
            <w:r>
              <w:rPr>
                <w:color w:val="000000"/>
                <w:sz w:val="18"/>
                <w:highlight w:val="yellow"/>
              </w:rPr>
              <w:t xml:space="preserve">[API / scheduled file / manual upload / re-keyed]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E2</w:t>
            </w:r>
          </w:p>
        </w:tc>
        <w:tc>
          <w:tcPr>
            <w:tcW w:type="dxa" w:w="3600"/>
            <w:vAlign w:val="center"/>
          </w:tcPr>
          <w:p>
            <w:pPr>
              <w:spacing w:after="0" w:before="0" w:line="240" w:lineRule="auto"/>
            </w:pPr>
            <w:r>
              <w:rPr>
                <w:color w:val="000000"/>
                <w:sz w:val="18"/>
              </w:rPr>
              <w:t xml:space="preserve">Payroll journal from bureau </w:t>
            </w:r>
            <w:r>
              <w:rPr>
                <w:color w:val="000000"/>
                <w:sz w:val="18"/>
                <w:highlight w:val="yellow"/>
              </w:rPr>
              <w:t xml:space="preserve">[uploaded as file / 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E3 and E4</w:t>
            </w:r>
          </w:p>
        </w:tc>
        <w:tc>
          <w:tcPr>
            <w:tcW w:type="dxa" w:w="3600"/>
            <w:vAlign w:val="center"/>
          </w:tcPr>
          <w:p>
            <w:pPr>
              <w:spacing w:after="0" w:before="0" w:line="240" w:lineRule="auto"/>
            </w:pPr>
            <w:r>
              <w:rPr>
                <w:color w:val="000000"/>
                <w:sz w:val="18"/>
              </w:rPr>
              <w:t xml:space="preserve">Bank portal: statements </w:t>
            </w:r>
            <w:r>
              <w:rPr>
                <w:color w:val="000000"/>
                <w:sz w:val="18"/>
                <w:highlight w:val="yellow"/>
              </w:rPr>
              <w:t xml:space="preserve">[downloaded and imported / bank feed]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E5</w:t>
            </w:r>
          </w:p>
        </w:tc>
        <w:tc>
          <w:tcPr>
            <w:tcW w:type="dxa" w:w="3600"/>
            <w:vAlign w:val="center"/>
          </w:tcPr>
          <w:p>
            <w:pPr>
              <w:spacing w:after="0" w:before="0" w:line="240" w:lineRule="auto"/>
            </w:pPr>
            <w:r>
              <w:rPr>
                <w:color w:val="000000"/>
                <w:sz w:val="18"/>
              </w:rPr>
              <w:t xml:space="preserve">Manual export from Cloud ERP to Excel</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E6</w:t>
            </w:r>
          </w:p>
        </w:tc>
        <w:tc>
          <w:tcPr>
            <w:tcW w:type="dxa" w:w="3600"/>
            <w:vAlign w:val="center"/>
          </w:tcPr>
          <w:p>
            <w:pPr>
              <w:spacing w:after="0" w:before="0" w:line="240" w:lineRule="auto"/>
            </w:pPr>
            <w:r>
              <w:rPr>
                <w:color w:val="000000"/>
                <w:sz w:val="18"/>
                <w:highlight w:val="yellow"/>
              </w:rPr>
              <w:t xml:space="preserve">[API / scheduled file / manual upload / re-keyed]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E7</w:t>
            </w:r>
          </w:p>
        </w:tc>
        <w:tc>
          <w:tcPr>
            <w:tcW w:type="dxa" w:w="3600"/>
            <w:vAlign w:val="center"/>
          </w:tcPr>
          <w:p>
            <w:pPr>
              <w:spacing w:after="0" w:before="0" w:line="240" w:lineRule="auto"/>
            </w:pPr>
            <w:r>
              <w:rPr>
                <w:color w:val="000000"/>
                <w:sz w:val="18"/>
              </w:rPr>
              <w:t xml:space="preserve">Within Excel, between plan and cash forecast</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E8</w:t>
            </w:r>
          </w:p>
        </w:tc>
        <w:tc>
          <w:tcPr>
            <w:tcW w:type="dxa" w:w="3600"/>
            <w:vAlign w:val="center"/>
          </w:tcPr>
          <w:p>
            <w:pPr>
              <w:spacing w:after="0" w:before="0" w:line="240" w:lineRule="auto"/>
            </w:pPr>
            <w:r>
              <w:rPr>
                <w:color w:val="000000"/>
                <w:sz w:val="18"/>
              </w:rPr>
              <w:t xml:space="preserve">MTD submission from Cloud ERP; payment through bank portal</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E9</w:t>
            </w:r>
          </w:p>
        </w:tc>
        <w:tc>
          <w:tcPr>
            <w:tcW w:type="dxa" w:w="3600"/>
            <w:vAlign w:val="center"/>
          </w:tcPr>
          <w:p>
            <w:pPr>
              <w:spacing w:after="0" w:before="0" w:line="240" w:lineRule="auto"/>
            </w:pPr>
            <w:r>
              <w:rPr>
                <w:color w:val="000000"/>
                <w:sz w:val="18"/>
                <w:highlight w:val="yellow"/>
              </w:rPr>
              <w:t xml:space="preserve">[API / scheduled file / manual upload / re-keyed]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E10</w:t>
            </w:r>
          </w:p>
        </w:tc>
        <w:tc>
          <w:tcPr>
            <w:tcW w:type="dxa" w:w="3600"/>
            <w:vAlign w:val="center"/>
          </w:tcPr>
          <w:p>
            <w:pPr>
              <w:spacing w:after="0" w:before="0" w:line="240" w:lineRule="auto"/>
            </w:pPr>
            <w:r>
              <w:rPr>
                <w:color w:val="000000"/>
                <w:sz w:val="18"/>
                <w:highlight w:val="yellow"/>
              </w:rPr>
              <w:t xml:space="preserve">[API / scheduled file / manual upload / re-keyed]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E11</w:t>
            </w:r>
          </w:p>
        </w:tc>
        <w:tc>
          <w:tcPr>
            <w:tcW w:type="dxa" w:w="3600"/>
            <w:vAlign w:val="center"/>
          </w:tcPr>
          <w:p>
            <w:pPr>
              <w:spacing w:after="0" w:before="0" w:line="240" w:lineRule="auto"/>
            </w:pPr>
            <w:r>
              <w:rPr>
                <w:color w:val="000000"/>
                <w:sz w:val="18"/>
              </w:rPr>
              <w:t xml:space="preserve">Within Cloud ERP</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E12</w:t>
            </w:r>
          </w:p>
        </w:tc>
        <w:tc>
          <w:tcPr>
            <w:tcW w:type="dxa" w:w="3600"/>
            <w:vAlign w:val="center"/>
          </w:tcPr>
          <w:p>
            <w:pPr>
              <w:spacing w:after="0" w:before="0" w:line="240" w:lineRule="auto"/>
            </w:pPr>
            <w:r>
              <w:rPr>
                <w:color w:val="000000"/>
                <w:sz w:val="18"/>
              </w:rPr>
              <w:t xml:space="preserve">Payroll bureau </w:t>
            </w:r>
            <w:r>
              <w:rPr>
                <w:color w:val="000000"/>
                <w:sz w:val="18"/>
                <w:highlight w:val="yellow"/>
              </w:rPr>
              <w:t xml:space="preserve">[confirm who submits the Bacs file]</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E13</w:t>
            </w:r>
          </w:p>
        </w:tc>
        <w:tc>
          <w:tcPr>
            <w:tcW w:type="dxa" w:w="3600"/>
            <w:vAlign w:val="center"/>
          </w:tcPr>
          <w:p>
            <w:pPr>
              <w:spacing w:after="0" w:before="0" w:line="240" w:lineRule="auto"/>
            </w:pPr>
            <w:r>
              <w:rPr>
                <w:color w:val="000000"/>
                <w:sz w:val="18"/>
                <w:highlight w:val="yellow"/>
              </w:rPr>
              <w:t xml:space="preserve">[API / scheduled file / manual upload / re-keyed]</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r>
        <w:trPr>
          <w:cantSplit/>
        </w:trPr>
        <w:tc>
          <w:tcPr>
            <w:tcW w:type="dxa" w:w="1500"/>
            <w:vAlign w:val="center"/>
          </w:tcPr>
          <w:p>
            <w:pPr>
              <w:spacing w:after="0" w:before="0" w:line="240" w:lineRule="auto"/>
            </w:pPr>
            <w:r>
              <w:rPr>
                <w:b/>
                <w:color w:val="000000"/>
                <w:sz w:val="18"/>
              </w:rPr>
              <w:t xml:space="preserve">E14</w:t>
            </w:r>
          </w:p>
        </w:tc>
        <w:tc>
          <w:tcPr>
            <w:tcW w:type="dxa" w:w="3600"/>
            <w:vAlign w:val="center"/>
          </w:tcPr>
          <w:p>
            <w:pPr>
              <w:spacing w:after="0" w:before="0" w:line="240" w:lineRule="auto"/>
            </w:pPr>
            <w:r>
              <w:rPr>
                <w:color w:val="000000"/>
                <w:sz w:val="18"/>
              </w:rPr>
              <w:t xml:space="preserve">OCR and capture tools into AP system</w:t>
            </w:r>
          </w:p>
        </w:tc>
        <w:tc>
          <w:tcPr>
            <w:tcW w:type="dxa" w:w="2400"/>
            <w:vAlign w:val="center"/>
          </w:tcPr>
          <w:p>
            <w:pPr>
              <w:spacing w:after="0" w:before="0" w:line="240" w:lineRule="auto"/>
            </w:pPr>
            <w:r>
              <w:rPr>
                <w:color w:val="000000"/>
                <w:sz w:val="18"/>
                <w:highlight w:val="yellow"/>
              </w:rPr>
              <w:t xml:space="preserve">[real time / daily / monthly]</w:t>
            </w:r>
          </w:p>
        </w:tc>
        <w:tc>
          <w:tcPr>
            <w:tcW w:type="dxa" w:w="2000"/>
            <w:vAlign w:val="center"/>
          </w:tcPr>
          <w:p>
            <w:pPr>
              <w:spacing w:after="0" w:before="0" w:line="240" w:lineRule="auto"/>
            </w:pPr>
            <w:r>
              <w:rPr>
                <w:color w:val="000000"/>
                <w:sz w:val="18"/>
                <w:highlight w:val="yellow"/>
              </w:rPr>
              <w:t xml:space="preserve">[name]</w:t>
            </w:r>
          </w:p>
        </w:tc>
        <w:tc>
          <w:tcPr>
            <w:tcW w:type="dxa" w:w="4324"/>
            <w:vAlign w:val="center"/>
          </w:tcPr>
          <w:p>
            <w:pPr>
              <w:spacing w:after="0" w:before="0" w:line="240" w:lineRule="auto"/>
            </w:pPr>
            <w:r>
              <w:rPr>
                <w:color w:val="000000"/>
                <w:sz w:val="18"/>
                <w:highlight w:val="yellow"/>
              </w:rPr>
              <w:t xml:space="preserve">[failures, reconciliation breaks, manual fixes]</w:t>
            </w:r>
          </w:p>
        </w:tc>
      </w:tr>
    </w:tbl>
    <w:p>
      <w:pPr>
        <w:sectPr>
          <w:footerReference w:type="default" r:id="rId9"/>
          <w:pgSz w:w="15840" w:h="12240" w:orient="landscape"/>
          <w:pgMar w:top="792" w:right="1008" w:bottom="792" w:left="1008" w:header="331" w:footer="360" w:gutter="0"/>
          <w:cols w:space="720"/>
          <w:docGrid w:linePitch="360"/>
        </w:sectPr>
      </w:pPr>
    </w:p>
    <w:p>
      <w:pPr>
        <w:pStyle w:val="Title"/>
      </w:pPr>
      <w:r>
        <w:t>CFO office process guide</w:t>
      </w:r>
    </w:p>
    <w:p>
      <w:pPr>
        <w:pStyle w:val="Heading1"/>
      </w:pPr>
      <w:r>
        <w:t xml:space="preserve">11  Agentic finance operations (proposed)</w:t>
      </w:r>
    </w:p>
    <w:p>
      <w:pPr>
        <w:spacing w:after="120"/>
      </w:pPr>
      <w:r>
        <w:t xml:space="preserve">This part proposes where agents could support the processes in Part A, using the systems in Part B. It is a target design, not current practice. Process owners stay accountable for decisions and approvals.</w:t>
      </w:r>
    </w:p>
    <w:p>
      <w:pPr>
        <w:spacing w:after="120"/>
      </w:pPr>
      <w:r>
        <w:t xml:space="preserve">An agent here is a model that chooses its next step, observes the result and adapts until the task is complete or needs human judgement. That flexibility helps where the path is not known in advance, such as finding why a reconciliation does not balance. Where the path is known, such as matching an invoice to an order, it adds cost and risk, so those steps stay in system rules and workflows.</w:t>
      </w:r>
    </w:p>
    <w:p>
      <w:pPr>
        <w:pStyle w:val="Heading2"/>
      </w:pPr>
      <w:r>
        <w:t xml:space="preserve">Design principles</w:t>
      </w:r>
    </w:p>
    <w:p>
      <w:r>
        <w:rPr>
          <w:b/>
        </w:rPr>
        <w:t xml:space="preserve">Start with the simplest thing that works: </w:t>
      </w:r>
      <w:r>
        <w:t xml:space="preserve">Use existing system rules first, then a fixed workflow, and an agent only where the steps cannot be specified in advance. Add complexity only when testing shows it improves results.</w:t>
      </w:r>
    </w:p>
    <w:p>
      <w:r>
        <w:rPr>
          <w:b/>
        </w:rPr>
        <w:t xml:space="preserve">Shape agents around tasks, not the organisation chart: </w:t>
      </w:r>
      <w:r>
        <w:t xml:space="preserve">The same kinds of work recur across all ten processes: investigating exceptions, assembling evidence, drafting narrative and checking figures. Four task-shaped agents, each guided by a process playbook, replace the previous one-agent-per-process design.</w:t>
      </w:r>
    </w:p>
    <w:p>
      <w:r>
        <w:rPr>
          <w:b/>
        </w:rPr>
        <w:t xml:space="preserve">Systems of record are the handoff: </w:t>
      </w:r>
      <w:r>
        <w:t xml:space="preserve">Agents read accepted records from the systems in Part B and write drafts to T6. They do not pass work to each other. When an approved journal is posted, other processes see it in T1, as they do today.</w:t>
      </w:r>
    </w:p>
    <w:p>
      <w:r>
        <w:rPr>
          <w:b/>
        </w:rPr>
        <w:t xml:space="preserve">Humans decide and execute: </w:t>
      </w:r>
      <w:r>
        <w:t xml:space="preserve">No agent posts journals, changes master data, releases payments, commits funding, files tax returns or contacts third parties. Those stay with the approval and execution roles in Part A.</w:t>
      </w:r>
    </w:p>
    <w:p>
      <w:r>
        <w:rPr>
          <w:b/>
        </w:rPr>
        <w:t xml:space="preserve">Prove it before scaling: </w:t>
      </w:r>
      <w:r>
        <w:t xml:space="preserve">Each use case runs in shadow mode against a measured baseline before its output is relied on.</w:t>
      </w:r>
    </w:p>
    <w:p>
      <w:pPr>
        <w:pStyle w:val="Heading2"/>
      </w:pPr>
      <w:r>
        <w:t xml:space="preserve">Operating boundaries</w:t>
      </w:r>
    </w:p>
    <w:p>
      <w:r>
        <w:t xml:space="preserve">Agents may read authorised records, run approved analyses, prepare drafts and maintain task logs. Agent service identities are set up in T13 with read access per role, entity and data type; write access is limited to drafts and task records in T6. A system category never grants blanket access.</w:t>
      </w:r>
    </w:p>
    <w:p>
      <w:pPr>
        <w:pStyle w:val="Title"/>
        <w:pageBreakBefore/>
      </w:pPr>
      <w:r>
        <w:t>CFO office process guide</w:t>
      </w:r>
    </w:p>
    <w:p>
      <w:pPr>
        <w:pStyle w:val="Heading1"/>
      </w:pPr>
      <w:r>
        <w:t xml:space="preserve">Building blocks</w:t>
      </w:r>
    </w:p>
    <w:p>
      <w:pPr>
        <w:spacing w:after="120"/>
      </w:pPr>
      <w:r>
        <w:t xml:space="preserve">The design uses deterministic components, agents and human roles. Most of the work is done by the deterministic components; agents handle what they leave unresolved.</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200"/>
        <w:gridCol w:w="1450"/>
        <w:gridCol w:w="4474"/>
        <w:gridCol w:w="2100"/>
      </w:tblGrid>
      <w:tr>
        <w:trPr>
          <w:tblHeader/>
        </w:trPr>
        <w:tc>
          <w:tcPr>
            <w:tcW w:type="dxa" w:w="2200"/>
            <w:shd w:val="clear" w:color="auto" w:fill="DCE6F1"/>
            <w:vAlign w:val="center"/>
          </w:tcPr>
          <w:p>
            <w:pPr>
              <w:spacing w:after="0" w:before="0" w:line="240" w:lineRule="auto"/>
            </w:pPr>
            <w:r>
              <w:rPr>
                <w:b/>
                <w:color w:val="000000"/>
                <w:sz w:val="18"/>
              </w:rPr>
              <w:t xml:space="preserve">Component</w:t>
            </w:r>
          </w:p>
        </w:tc>
        <w:tc>
          <w:tcPr>
            <w:tcW w:type="dxa" w:w="1450"/>
            <w:shd w:val="clear" w:color="auto" w:fill="DCE6F1"/>
            <w:vAlign w:val="center"/>
          </w:tcPr>
          <w:p>
            <w:pPr>
              <w:spacing w:after="0" w:before="0" w:line="240" w:lineRule="auto"/>
            </w:pPr>
            <w:r>
              <w:rPr>
                <w:b/>
                <w:color w:val="000000"/>
                <w:sz w:val="18"/>
              </w:rPr>
              <w:t xml:space="preserve">Type</w:t>
            </w:r>
          </w:p>
        </w:tc>
        <w:tc>
          <w:tcPr>
            <w:tcW w:type="dxa" w:w="4474"/>
            <w:shd w:val="clear" w:color="auto" w:fill="DCE6F1"/>
            <w:vAlign w:val="center"/>
          </w:tcPr>
          <w:p>
            <w:pPr>
              <w:spacing w:after="0" w:before="0" w:line="240" w:lineRule="auto"/>
            </w:pPr>
            <w:r>
              <w:rPr>
                <w:b/>
                <w:color w:val="000000"/>
                <w:sz w:val="18"/>
              </w:rPr>
              <w:t xml:space="preserve">What it does</w:t>
            </w:r>
          </w:p>
        </w:tc>
        <w:tc>
          <w:tcPr>
            <w:tcW w:type="dxa" w:w="2100"/>
            <w:shd w:val="clear" w:color="auto" w:fill="DCE6F1"/>
            <w:vAlign w:val="center"/>
          </w:tcPr>
          <w:p>
            <w:pPr>
              <w:spacing w:after="0" w:before="0" w:line="240" w:lineRule="auto"/>
            </w:pPr>
            <w:r>
              <w:rPr>
                <w:b/>
                <w:color w:val="000000"/>
                <w:sz w:val="18"/>
              </w:rPr>
              <w:t xml:space="preserve">Owner</w:t>
            </w:r>
          </w:p>
        </w:tc>
      </w:tr>
      <w:tr>
        <w:trPr>
          <w:cantSplit/>
        </w:trPr>
        <w:tc>
          <w:tcPr>
            <w:tcW w:type="dxa" w:w="2200"/>
            <w:vAlign w:val="center"/>
          </w:tcPr>
          <w:p>
            <w:pPr>
              <w:spacing w:after="0" w:before="0" w:line="240" w:lineRule="auto"/>
            </w:pPr>
            <w:r>
              <w:rPr>
                <w:b/>
                <w:color w:val="000000"/>
                <w:sz w:val="18"/>
              </w:rPr>
              <w:t xml:space="preserve">Workflow engine</w:t>
            </w:r>
          </w:p>
          <w:p>
            <w:pPr>
              <w:spacing w:after="0" w:before="0" w:line="240" w:lineRule="auto"/>
            </w:pPr>
            <w:r>
              <w:rPr>
                <w:b/>
                <w:color w:val="000000"/>
                <w:sz w:val="18"/>
              </w:rPr>
              <w:t xml:space="preserve">(replaces C)</w:t>
            </w:r>
          </w:p>
        </w:tc>
        <w:tc>
          <w:tcPr>
            <w:tcW w:type="dxa" w:w="1450"/>
            <w:vAlign w:val="center"/>
          </w:tcPr>
          <w:p>
            <w:pPr>
              <w:spacing w:after="0" w:before="0" w:line="240" w:lineRule="auto"/>
            </w:pPr>
            <w:r>
              <w:rPr>
                <w:color w:val="000000"/>
                <w:sz w:val="18"/>
              </w:rPr>
              <w:t xml:space="preserve">Deterministic</w:t>
            </w:r>
          </w:p>
        </w:tc>
        <w:tc>
          <w:tcPr>
            <w:tcW w:type="dxa" w:w="4474"/>
            <w:vAlign w:val="center"/>
          </w:tcPr>
          <w:p>
            <w:pPr>
              <w:spacing w:after="0" w:before="0" w:line="240" w:lineRule="auto"/>
            </w:pPr>
            <w:r>
              <w:rPr>
                <w:color w:val="000000"/>
                <w:sz w:val="18"/>
              </w:rPr>
              <w:t xml:space="preserve">Creates tasks from triggers, routes them, waits for dependencies, tracks deadlines and status, and closes tasks once the system of record shows the result. </w:t>
            </w:r>
            <w:r>
              <w:rPr>
                <w:color w:val="000000"/>
                <w:sz w:val="18"/>
                <w:highlight w:val="yellow"/>
              </w:rPr>
              <w:t xml:space="preserve">[Existing workflow or close tool: confirm.]</w:t>
            </w:r>
          </w:p>
        </w:tc>
        <w:tc>
          <w:tcPr>
            <w:tcW w:type="dxa" w:w="2100"/>
            <w:vAlign w:val="center"/>
          </w:tcPr>
          <w:p>
            <w:pPr>
              <w:spacing w:after="0" w:before="0" w:line="240" w:lineRule="auto"/>
            </w:pPr>
            <w:r>
              <w:rPr>
                <w:color w:val="000000"/>
                <w:sz w:val="18"/>
              </w:rPr>
              <w:t xml:space="preserve">Finance Manager</w:t>
            </w:r>
          </w:p>
        </w:tc>
      </w:tr>
      <w:tr>
        <w:trPr>
          <w:cantSplit/>
        </w:trPr>
        <w:tc>
          <w:tcPr>
            <w:tcW w:type="dxa" w:w="2200"/>
            <w:vAlign w:val="center"/>
          </w:tcPr>
          <w:p>
            <w:pPr>
              <w:spacing w:after="0" w:before="0" w:line="240" w:lineRule="auto"/>
            </w:pPr>
            <w:r>
              <w:rPr>
                <w:b/>
                <w:color w:val="000000"/>
                <w:sz w:val="18"/>
              </w:rPr>
              <w:t xml:space="preserve">Data checks</w:t>
            </w:r>
          </w:p>
          <w:p>
            <w:pPr>
              <w:spacing w:after="0" w:before="0" w:line="240" w:lineRule="auto"/>
            </w:pPr>
            <w:r>
              <w:rPr>
                <w:b/>
                <w:color w:val="000000"/>
                <w:sz w:val="18"/>
              </w:rPr>
              <w:t xml:space="preserve">(replaces D)</w:t>
            </w:r>
          </w:p>
        </w:tc>
        <w:tc>
          <w:tcPr>
            <w:tcW w:type="dxa" w:w="1450"/>
            <w:vAlign w:val="center"/>
          </w:tcPr>
          <w:p>
            <w:pPr>
              <w:spacing w:after="0" w:before="0" w:line="240" w:lineRule="auto"/>
            </w:pPr>
            <w:r>
              <w:rPr>
                <w:color w:val="000000"/>
                <w:sz w:val="18"/>
              </w:rPr>
              <w:t xml:space="preserve">Deterministic</w:t>
            </w:r>
          </w:p>
        </w:tc>
        <w:tc>
          <w:tcPr>
            <w:tcW w:type="dxa" w:w="4474"/>
            <w:vAlign w:val="center"/>
          </w:tcPr>
          <w:p>
            <w:pPr>
              <w:spacing w:after="0" w:before="0" w:line="240" w:lineRule="auto"/>
            </w:pPr>
            <w:r>
              <w:rPr>
                <w:color w:val="000000"/>
                <w:sz w:val="18"/>
              </w:rPr>
              <w:t xml:space="preserve">Checks source, entity, period, currency, freshness, control totals and period status before an agent starts. A failed check stops the task.</w:t>
            </w:r>
          </w:p>
        </w:tc>
        <w:tc>
          <w:tcPr>
            <w:tcW w:type="dxa" w:w="2100"/>
            <w:vAlign w:val="center"/>
          </w:tcPr>
          <w:p>
            <w:pPr>
              <w:spacing w:after="0" w:before="0" w:line="240" w:lineRule="auto"/>
            </w:pPr>
            <w:r>
              <w:rPr>
                <w:color w:val="000000"/>
                <w:sz w:val="18"/>
              </w:rPr>
              <w:t xml:space="preserve">Controller and data owners</w:t>
            </w:r>
          </w:p>
        </w:tc>
      </w:tr>
      <w:tr>
        <w:trPr>
          <w:cantSplit/>
        </w:trPr>
        <w:tc>
          <w:tcPr>
            <w:tcW w:type="dxa" w:w="2200"/>
            <w:vAlign w:val="center"/>
          </w:tcPr>
          <w:p>
            <w:pPr>
              <w:spacing w:after="0" w:before="0" w:line="240" w:lineRule="auto"/>
            </w:pPr>
            <w:r>
              <w:rPr>
                <w:b/>
                <w:color w:val="000000"/>
                <w:sz w:val="18"/>
              </w:rPr>
              <w:t xml:space="preserve">Existing system rules</w:t>
            </w:r>
          </w:p>
        </w:tc>
        <w:tc>
          <w:tcPr>
            <w:tcW w:type="dxa" w:w="1450"/>
            <w:vAlign w:val="center"/>
          </w:tcPr>
          <w:p>
            <w:pPr>
              <w:spacing w:after="0" w:before="0" w:line="240" w:lineRule="auto"/>
            </w:pPr>
            <w:r>
              <w:rPr>
                <w:color w:val="000000"/>
                <w:sz w:val="18"/>
              </w:rPr>
              <w:t xml:space="preserve">Deterministic</w:t>
            </w:r>
          </w:p>
        </w:tc>
        <w:tc>
          <w:tcPr>
            <w:tcW w:type="dxa" w:w="4474"/>
            <w:vAlign w:val="center"/>
          </w:tcPr>
          <w:p>
            <w:pPr>
              <w:spacing w:after="0" w:before="0" w:line="240" w:lineRule="auto"/>
            </w:pPr>
            <w:r>
              <w:rPr>
                <w:color w:val="000000"/>
                <w:sz w:val="18"/>
              </w:rPr>
              <w:t xml:space="preserve">Auto-matching, cash application, reconciliation matching, tax calculation and approval routing. Agents see only what these leave unresolved.</w:t>
            </w:r>
          </w:p>
        </w:tc>
        <w:tc>
          <w:tcPr>
            <w:tcW w:type="dxa" w:w="2100"/>
            <w:vAlign w:val="center"/>
          </w:tcPr>
          <w:p>
            <w:pPr>
              <w:spacing w:after="0" w:before="0" w:line="240" w:lineRule="auto"/>
            </w:pPr>
            <w:r>
              <w:rPr>
                <w:color w:val="000000"/>
                <w:sz w:val="18"/>
              </w:rPr>
              <w:t xml:space="preserve">System owners</w:t>
            </w:r>
          </w:p>
        </w:tc>
      </w:tr>
      <w:tr>
        <w:trPr>
          <w:cantSplit/>
        </w:trPr>
        <w:tc>
          <w:tcPr>
            <w:tcW w:type="dxa" w:w="2200"/>
            <w:vAlign w:val="center"/>
          </w:tcPr>
          <w:p>
            <w:pPr>
              <w:spacing w:after="0" w:before="0" w:line="240" w:lineRule="auto"/>
            </w:pPr>
            <w:r>
              <w:rPr>
                <w:b/>
                <w:color w:val="000000"/>
                <w:sz w:val="18"/>
              </w:rPr>
              <w:t xml:space="preserve">X1 Investigator</w:t>
            </w:r>
          </w:p>
        </w:tc>
        <w:tc>
          <w:tcPr>
            <w:tcW w:type="dxa" w:w="1450"/>
            <w:vAlign w:val="center"/>
          </w:tcPr>
          <w:p>
            <w:pPr>
              <w:spacing w:after="0" w:before="0" w:line="240" w:lineRule="auto"/>
            </w:pPr>
            <w:r>
              <w:rPr>
                <w:color w:val="000000"/>
                <w:sz w:val="18"/>
              </w:rPr>
              <w:t xml:space="preserve">Agent</w:t>
            </w:r>
          </w:p>
        </w:tc>
        <w:tc>
          <w:tcPr>
            <w:tcW w:type="dxa" w:w="4474"/>
            <w:vAlign w:val="center"/>
          </w:tcPr>
          <w:p>
            <w:pPr>
              <w:spacing w:after="0" w:before="0" w:line="240" w:lineRule="auto"/>
            </w:pPr>
            <w:r>
              <w:rPr>
                <w:color w:val="000000"/>
                <w:sz w:val="18"/>
              </w:rPr>
              <w:t xml:space="preserve">Takes one exception (reconciliation break, match failure, unapplied receipt, forecast miss), gathers evidence across systems, explains the likely cause and proposes a resolution with record references.</w:t>
            </w:r>
          </w:p>
        </w:tc>
        <w:tc>
          <w:tcPr>
            <w:tcW w:type="dxa" w:w="2100"/>
            <w:vAlign w:val="center"/>
          </w:tcPr>
          <w:p>
            <w:pPr>
              <w:spacing w:after="0" w:before="0" w:line="240" w:lineRule="auto"/>
            </w:pPr>
            <w:r>
              <w:rPr>
                <w:color w:val="000000"/>
                <w:sz w:val="18"/>
              </w:rPr>
              <w:t xml:space="preserve">Owner of the process raising the exception</w:t>
            </w:r>
          </w:p>
        </w:tc>
      </w:tr>
      <w:tr>
        <w:trPr>
          <w:cantSplit/>
        </w:trPr>
        <w:tc>
          <w:tcPr>
            <w:tcW w:type="dxa" w:w="2200"/>
            <w:vAlign w:val="center"/>
          </w:tcPr>
          <w:p>
            <w:pPr>
              <w:spacing w:after="0" w:before="0" w:line="240" w:lineRule="auto"/>
            </w:pPr>
            <w:r>
              <w:rPr>
                <w:b/>
                <w:color w:val="000000"/>
                <w:sz w:val="18"/>
              </w:rPr>
              <w:t xml:space="preserve">X2 Preparer</w:t>
            </w:r>
          </w:p>
        </w:tc>
        <w:tc>
          <w:tcPr>
            <w:tcW w:type="dxa" w:w="1450"/>
            <w:vAlign w:val="center"/>
          </w:tcPr>
          <w:p>
            <w:pPr>
              <w:spacing w:after="0" w:before="0" w:line="240" w:lineRule="auto"/>
            </w:pPr>
            <w:r>
              <w:rPr>
                <w:color w:val="000000"/>
                <w:sz w:val="18"/>
              </w:rPr>
              <w:t xml:space="preserve">Agent</w:t>
            </w:r>
          </w:p>
        </w:tc>
        <w:tc>
          <w:tcPr>
            <w:tcW w:type="dxa" w:w="4474"/>
            <w:vAlign w:val="center"/>
          </w:tcPr>
          <w:p>
            <w:pPr>
              <w:spacing w:after="0" w:before="0" w:line="240" w:lineRule="auto"/>
            </w:pPr>
            <w:r>
              <w:rPr>
                <w:color w:val="000000"/>
                <w:sz w:val="18"/>
              </w:rPr>
              <w:t xml:space="preserve">Prepares reconciliations, schedules, journals and support packs: close schedules, audit requests, control evidence, tax working papers and diligence gap lists. Flags anything missing.</w:t>
            </w:r>
          </w:p>
        </w:tc>
        <w:tc>
          <w:tcPr>
            <w:tcW w:type="dxa" w:w="2100"/>
            <w:vAlign w:val="center"/>
          </w:tcPr>
          <w:p>
            <w:pPr>
              <w:spacing w:after="0" w:before="0" w:line="240" w:lineRule="auto"/>
            </w:pPr>
            <w:r>
              <w:rPr>
                <w:color w:val="000000"/>
                <w:sz w:val="18"/>
              </w:rPr>
              <w:t xml:space="preserve">Process owner</w:t>
            </w:r>
          </w:p>
        </w:tc>
      </w:tr>
      <w:tr>
        <w:trPr>
          <w:cantSplit/>
        </w:trPr>
        <w:tc>
          <w:tcPr>
            <w:tcW w:type="dxa" w:w="2200"/>
            <w:vAlign w:val="center"/>
          </w:tcPr>
          <w:p>
            <w:pPr>
              <w:spacing w:after="0" w:before="0" w:line="240" w:lineRule="auto"/>
            </w:pPr>
            <w:r>
              <w:rPr>
                <w:b/>
                <w:color w:val="000000"/>
                <w:sz w:val="18"/>
              </w:rPr>
              <w:t xml:space="preserve">X3 Drafter</w:t>
            </w:r>
          </w:p>
        </w:tc>
        <w:tc>
          <w:tcPr>
            <w:tcW w:type="dxa" w:w="1450"/>
            <w:vAlign w:val="center"/>
          </w:tcPr>
          <w:p>
            <w:pPr>
              <w:spacing w:after="0" w:before="0" w:line="240" w:lineRule="auto"/>
            </w:pPr>
            <w:r>
              <w:rPr>
                <w:color w:val="000000"/>
                <w:sz w:val="18"/>
              </w:rPr>
              <w:t xml:space="preserve">Agent</w:t>
            </w:r>
          </w:p>
        </w:tc>
        <w:tc>
          <w:tcPr>
            <w:tcW w:type="dxa" w:w="4474"/>
            <w:vAlign w:val="center"/>
          </w:tcPr>
          <w:p>
            <w:pPr>
              <w:spacing w:after="0" w:before="0" w:line="240" w:lineRule="auto"/>
            </w:pPr>
            <w:r>
              <w:rPr>
                <w:color w:val="000000"/>
                <w:sz w:val="18"/>
              </w:rPr>
              <w:t xml:space="preserve">Drafts variance commentary, management and board narrative, decision papers, dispute responses and owner follow-ups. Separates evidenced facts from hypotheses.</w:t>
            </w:r>
          </w:p>
        </w:tc>
        <w:tc>
          <w:tcPr>
            <w:tcW w:type="dxa" w:w="2100"/>
            <w:vAlign w:val="center"/>
          </w:tcPr>
          <w:p>
            <w:pPr>
              <w:spacing w:after="0" w:before="0" w:line="240" w:lineRule="auto"/>
            </w:pPr>
            <w:r>
              <w:rPr>
                <w:color w:val="000000"/>
                <w:sz w:val="18"/>
              </w:rPr>
              <w:t xml:space="preserve">Process owner; reviewer named per output</w:t>
            </w:r>
          </w:p>
        </w:tc>
      </w:tr>
      <w:tr>
        <w:trPr>
          <w:cantSplit/>
        </w:trPr>
        <w:tc>
          <w:tcPr>
            <w:tcW w:type="dxa" w:w="2200"/>
            <w:vAlign w:val="center"/>
          </w:tcPr>
          <w:p>
            <w:pPr>
              <w:spacing w:after="0" w:before="0" w:line="240" w:lineRule="auto"/>
            </w:pPr>
            <w:r>
              <w:rPr>
                <w:b/>
                <w:color w:val="000000"/>
                <w:sz w:val="18"/>
              </w:rPr>
              <w:t xml:space="preserve">X4 Figure checker</w:t>
            </w:r>
          </w:p>
        </w:tc>
        <w:tc>
          <w:tcPr>
            <w:tcW w:type="dxa" w:w="1450"/>
            <w:vAlign w:val="center"/>
          </w:tcPr>
          <w:p>
            <w:pPr>
              <w:spacing w:after="0" w:before="0" w:line="240" w:lineRule="auto"/>
            </w:pPr>
            <w:r>
              <w:rPr>
                <w:color w:val="000000"/>
                <w:sz w:val="18"/>
              </w:rPr>
              <w:t xml:space="preserve">Agent with deterministic lookups</w:t>
            </w:r>
          </w:p>
        </w:tc>
        <w:tc>
          <w:tcPr>
            <w:tcW w:type="dxa" w:w="4474"/>
            <w:vAlign w:val="center"/>
          </w:tcPr>
          <w:p>
            <w:pPr>
              <w:spacing w:after="0" w:before="0" w:line="240" w:lineRule="auto"/>
            </w:pPr>
            <w:r>
              <w:rPr>
                <w:color w:val="000000"/>
                <w:sz w:val="18"/>
              </w:rPr>
              <w:t xml:space="preserve">Ties each figure in a pack or paper to its source record and version, and flags mismatches and inconsistent versions. Comparisons use lookups, not model arithmetic.</w:t>
            </w:r>
          </w:p>
        </w:tc>
        <w:tc>
          <w:tcPr>
            <w:tcW w:type="dxa" w:w="2100"/>
            <w:vAlign w:val="center"/>
          </w:tcPr>
          <w:p>
            <w:pPr>
              <w:spacing w:after="0" w:before="0" w:line="240" w:lineRule="auto"/>
            </w:pPr>
            <w:r>
              <w:rPr>
                <w:color w:val="000000"/>
                <w:sz w:val="18"/>
              </w:rPr>
              <w:t xml:space="preserve">Report owner</w:t>
            </w:r>
          </w:p>
        </w:tc>
      </w:tr>
      <w:tr>
        <w:trPr>
          <w:cantSplit/>
        </w:trPr>
        <w:tc>
          <w:tcPr>
            <w:tcW w:type="dxa" w:w="2200"/>
            <w:vAlign w:val="center"/>
          </w:tcPr>
          <w:p>
            <w:pPr>
              <w:spacing w:after="0" w:before="0" w:line="240" w:lineRule="auto"/>
            </w:pPr>
            <w:r>
              <w:rPr>
                <w:b/>
                <w:color w:val="000000"/>
                <w:sz w:val="18"/>
              </w:rPr>
              <w:t xml:space="preserve">SOP playbooks</w:t>
            </w:r>
          </w:p>
          <w:p>
            <w:pPr>
              <w:spacing w:after="0" w:before="0" w:line="240" w:lineRule="auto"/>
            </w:pPr>
            <w:r>
              <w:rPr>
                <w:b/>
                <w:color w:val="000000"/>
                <w:sz w:val="18"/>
              </w:rPr>
              <w:t xml:space="preserve">(PB-01 to PB-16)</w:t>
            </w:r>
          </w:p>
        </w:tc>
        <w:tc>
          <w:tcPr>
            <w:tcW w:type="dxa" w:w="1450"/>
            <w:vAlign w:val="center"/>
          </w:tcPr>
          <w:p>
            <w:pPr>
              <w:spacing w:after="0" w:before="0" w:line="240" w:lineRule="auto"/>
            </w:pPr>
            <w:r>
              <w:rPr>
                <w:color w:val="000000"/>
                <w:sz w:val="18"/>
              </w:rPr>
              <w:t xml:space="preserve">Configuration</w:t>
            </w:r>
          </w:p>
        </w:tc>
        <w:tc>
          <w:tcPr>
            <w:tcW w:type="dxa" w:w="4474"/>
            <w:vAlign w:val="center"/>
          </w:tcPr>
          <w:p>
            <w:pPr>
              <w:spacing w:after="0" w:before="0" w:line="240" w:lineRule="auto"/>
            </w:pPr>
            <w:r>
              <w:rPr>
                <w:color w:val="000000"/>
                <w:sz w:val="18"/>
              </w:rPr>
              <w:t xml:space="preserve">One per SOP where agents prepare work: how the agents prepare it inside that SOP’s steps, the data they may read and what good output looks like. Sets no approver or limit: the SOP does. Versioned and approved with the SOP. See the Playbooks page.</w:t>
            </w:r>
          </w:p>
        </w:tc>
        <w:tc>
          <w:tcPr>
            <w:tcW w:type="dxa" w:w="2100"/>
            <w:vAlign w:val="center"/>
          </w:tcPr>
          <w:p>
            <w:pPr>
              <w:spacing w:after="0" w:before="0" w:line="240" w:lineRule="auto"/>
            </w:pPr>
            <w:r>
              <w:rPr>
                <w:color w:val="000000"/>
                <w:sz w:val="18"/>
              </w:rPr>
              <w:t xml:space="preserve">SOP owner</w:t>
            </w:r>
          </w:p>
        </w:tc>
      </w:tr>
      <w:tr>
        <w:trPr>
          <w:cantSplit/>
        </w:trPr>
        <w:tc>
          <w:tcPr>
            <w:tcW w:type="dxa" w:w="2200"/>
            <w:vAlign w:val="center"/>
          </w:tcPr>
          <w:p>
            <w:pPr>
              <w:spacing w:after="0" w:before="0" w:line="240" w:lineRule="auto"/>
            </w:pPr>
            <w:r>
              <w:rPr>
                <w:b/>
                <w:color w:val="000000"/>
                <w:sz w:val="18"/>
              </w:rPr>
              <w:t xml:space="preserve">Reviewers and approvers</w:t>
            </w:r>
          </w:p>
        </w:tc>
        <w:tc>
          <w:tcPr>
            <w:tcW w:type="dxa" w:w="1450"/>
            <w:vAlign w:val="center"/>
          </w:tcPr>
          <w:p>
            <w:pPr>
              <w:spacing w:after="0" w:before="0" w:line="240" w:lineRule="auto"/>
            </w:pPr>
            <w:r>
              <w:rPr>
                <w:color w:val="000000"/>
                <w:sz w:val="18"/>
              </w:rPr>
              <w:t xml:space="preserve">Human</w:t>
            </w:r>
          </w:p>
        </w:tc>
        <w:tc>
          <w:tcPr>
            <w:tcW w:type="dxa" w:w="4474"/>
            <w:vAlign w:val="center"/>
          </w:tcPr>
          <w:p>
            <w:pPr>
              <w:spacing w:after="0" w:before="0" w:line="240" w:lineRule="auto"/>
            </w:pPr>
            <w:r>
              <w:rPr>
                <w:color w:val="000000"/>
                <w:sz w:val="18"/>
              </w:rPr>
              <w:t xml:space="preserve">Accept, amend or return drafts; approve under delegated authority; execute in systems of record.</w:t>
            </w:r>
          </w:p>
        </w:tc>
        <w:tc>
          <w:tcPr>
            <w:tcW w:type="dxa" w:w="2100"/>
            <w:vAlign w:val="center"/>
          </w:tcPr>
          <w:p>
            <w:pPr>
              <w:spacing w:after="0" w:before="0" w:line="240" w:lineRule="auto"/>
            </w:pPr>
            <w:r>
              <w:rPr>
                <w:color w:val="000000"/>
                <w:sz w:val="18"/>
              </w:rPr>
              <w:t xml:space="preserve">As Part A</w:t>
            </w:r>
          </w:p>
        </w:tc>
      </w:tr>
    </w:tbl>
    <w:p>
      <w:pPr>
        <w:pStyle w:val="Heading2"/>
      </w:pPr>
      <w:r>
        <w:t xml:space="preserve">Access by component</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200"/>
        <w:gridCol w:w="4824"/>
        <w:gridCol w:w="3200"/>
      </w:tblGrid>
      <w:tr>
        <w:trPr>
          <w:tblHeader/>
        </w:trPr>
        <w:tc>
          <w:tcPr>
            <w:tcW w:type="dxa" w:w="2200"/>
            <w:shd w:val="clear" w:color="auto" w:fill="DCE6F1"/>
            <w:vAlign w:val="center"/>
          </w:tcPr>
          <w:p>
            <w:pPr>
              <w:spacing w:after="0" w:before="0" w:line="240" w:lineRule="auto"/>
            </w:pPr>
            <w:r>
              <w:rPr>
                <w:b/>
                <w:color w:val="000000"/>
                <w:sz w:val="18"/>
              </w:rPr>
              <w:t xml:space="preserve">Component</w:t>
            </w:r>
          </w:p>
        </w:tc>
        <w:tc>
          <w:tcPr>
            <w:tcW w:type="dxa" w:w="4824"/>
            <w:shd w:val="clear" w:color="auto" w:fill="DCE6F1"/>
            <w:vAlign w:val="center"/>
          </w:tcPr>
          <w:p>
            <w:pPr>
              <w:spacing w:after="0" w:before="0" w:line="240" w:lineRule="auto"/>
            </w:pPr>
            <w:r>
              <w:rPr>
                <w:b/>
                <w:color w:val="000000"/>
                <w:sz w:val="18"/>
              </w:rPr>
              <w:t xml:space="preserve">Reads</w:t>
            </w:r>
          </w:p>
        </w:tc>
        <w:tc>
          <w:tcPr>
            <w:tcW w:type="dxa" w:w="3200"/>
            <w:shd w:val="clear" w:color="auto" w:fill="DCE6F1"/>
            <w:vAlign w:val="center"/>
          </w:tcPr>
          <w:p>
            <w:pPr>
              <w:spacing w:after="0" w:before="0" w:line="240" w:lineRule="auto"/>
            </w:pPr>
            <w:r>
              <w:rPr>
                <w:b/>
                <w:color w:val="000000"/>
                <w:sz w:val="18"/>
              </w:rPr>
              <w:t xml:space="preserve">Writes</w:t>
            </w:r>
          </w:p>
        </w:tc>
      </w:tr>
      <w:tr>
        <w:trPr>
          <w:cantSplit/>
        </w:trPr>
        <w:tc>
          <w:tcPr>
            <w:tcW w:type="dxa" w:w="2200"/>
            <w:vAlign w:val="center"/>
          </w:tcPr>
          <w:p>
            <w:pPr>
              <w:spacing w:after="0" w:before="0" w:line="240" w:lineRule="auto"/>
            </w:pPr>
            <w:r>
              <w:rPr>
                <w:b/>
                <w:color w:val="000000"/>
                <w:sz w:val="18"/>
              </w:rPr>
              <w:t xml:space="preserve">Workflow engine</w:t>
            </w:r>
          </w:p>
        </w:tc>
        <w:tc>
          <w:tcPr>
            <w:tcW w:type="dxa" w:w="4824"/>
            <w:vAlign w:val="center"/>
          </w:tcPr>
          <w:p>
            <w:pPr>
              <w:spacing w:after="0" w:before="0" w:line="240" w:lineRule="auto"/>
            </w:pPr>
            <w:r>
              <w:rPr>
                <w:color w:val="000000"/>
                <w:sz w:val="18"/>
              </w:rPr>
              <w:t xml:space="preserve">Task metadata and status across T1 to T13</w:t>
            </w:r>
          </w:p>
        </w:tc>
        <w:tc>
          <w:tcPr>
            <w:tcW w:type="dxa" w:w="3200"/>
            <w:vAlign w:val="center"/>
          </w:tcPr>
          <w:p>
            <w:pPr>
              <w:spacing w:after="0" w:before="0" w:line="240" w:lineRule="auto"/>
            </w:pPr>
            <w:r>
              <w:rPr>
                <w:color w:val="000000"/>
                <w:sz w:val="18"/>
              </w:rPr>
              <w:t xml:space="preserve">Tasks and status in T6</w:t>
            </w:r>
          </w:p>
        </w:tc>
      </w:tr>
      <w:tr>
        <w:trPr>
          <w:cantSplit/>
        </w:trPr>
        <w:tc>
          <w:tcPr>
            <w:tcW w:type="dxa" w:w="2200"/>
            <w:vAlign w:val="center"/>
          </w:tcPr>
          <w:p>
            <w:pPr>
              <w:spacing w:after="0" w:before="0" w:line="240" w:lineRule="auto"/>
            </w:pPr>
            <w:r>
              <w:rPr>
                <w:b/>
                <w:color w:val="000000"/>
                <w:sz w:val="18"/>
              </w:rPr>
              <w:t xml:space="preserve">Data checks</w:t>
            </w:r>
          </w:p>
        </w:tc>
        <w:tc>
          <w:tcPr>
            <w:tcW w:type="dxa" w:w="4824"/>
            <w:vAlign w:val="center"/>
          </w:tcPr>
          <w:p>
            <w:pPr>
              <w:spacing w:after="0" w:before="0" w:line="240" w:lineRule="auto"/>
            </w:pPr>
            <w:r>
              <w:rPr>
                <w:color w:val="000000"/>
                <w:sz w:val="18"/>
              </w:rPr>
              <w:t xml:space="preserve">Record counts, control totals, versions and period status</w:t>
            </w:r>
          </w:p>
        </w:tc>
        <w:tc>
          <w:tcPr>
            <w:tcW w:type="dxa" w:w="3200"/>
            <w:vAlign w:val="center"/>
          </w:tcPr>
          <w:p>
            <w:pPr>
              <w:spacing w:after="0" w:before="0" w:line="240" w:lineRule="auto"/>
            </w:pPr>
            <w:r>
              <w:rPr>
                <w:color w:val="000000"/>
                <w:sz w:val="18"/>
              </w:rPr>
              <w:t xml:space="preserve">Check results in T6</w:t>
            </w:r>
          </w:p>
        </w:tc>
      </w:tr>
      <w:tr>
        <w:trPr>
          <w:cantSplit/>
        </w:trPr>
        <w:tc>
          <w:tcPr>
            <w:tcW w:type="dxa" w:w="2200"/>
            <w:vAlign w:val="center"/>
          </w:tcPr>
          <w:p>
            <w:pPr>
              <w:spacing w:after="0" w:before="0" w:line="240" w:lineRule="auto"/>
            </w:pPr>
            <w:r>
              <w:rPr>
                <w:b/>
                <w:color w:val="000000"/>
                <w:sz w:val="18"/>
              </w:rPr>
              <w:t xml:space="preserve">X1</w:t>
            </w:r>
          </w:p>
        </w:tc>
        <w:tc>
          <w:tcPr>
            <w:tcW w:type="dxa" w:w="4824"/>
            <w:vAlign w:val="center"/>
          </w:tcPr>
          <w:p>
            <w:pPr>
              <w:spacing w:after="0" w:before="0" w:line="240" w:lineRule="auto"/>
            </w:pPr>
            <w:r>
              <w:rPr>
                <w:color w:val="000000"/>
                <w:sz w:val="18"/>
              </w:rPr>
              <w:t xml:space="preserve">Scoped T1, T2, T4, T5 records for the task; T9 documents as untrusted content</w:t>
            </w:r>
          </w:p>
        </w:tc>
        <w:tc>
          <w:tcPr>
            <w:tcW w:type="dxa" w:w="3200"/>
            <w:vAlign w:val="center"/>
          </w:tcPr>
          <w:p>
            <w:pPr>
              <w:spacing w:after="0" w:before="0" w:line="240" w:lineRule="auto"/>
            </w:pPr>
            <w:r>
              <w:rPr>
                <w:color w:val="000000"/>
                <w:sz w:val="18"/>
              </w:rPr>
              <w:t xml:space="preserve">Proposals in T6</w:t>
            </w:r>
          </w:p>
        </w:tc>
      </w:tr>
      <w:tr>
        <w:trPr>
          <w:cantSplit/>
        </w:trPr>
        <w:tc>
          <w:tcPr>
            <w:tcW w:type="dxa" w:w="2200"/>
            <w:vAlign w:val="center"/>
          </w:tcPr>
          <w:p>
            <w:pPr>
              <w:spacing w:after="0" w:before="0" w:line="240" w:lineRule="auto"/>
            </w:pPr>
            <w:r>
              <w:rPr>
                <w:b/>
                <w:color w:val="000000"/>
                <w:sz w:val="18"/>
              </w:rPr>
              <w:t xml:space="preserve">X2</w:t>
            </w:r>
          </w:p>
        </w:tc>
        <w:tc>
          <w:tcPr>
            <w:tcW w:type="dxa" w:w="4824"/>
            <w:vAlign w:val="center"/>
          </w:tcPr>
          <w:p>
            <w:pPr>
              <w:spacing w:after="0" w:before="0" w:line="240" w:lineRule="auto"/>
            </w:pPr>
            <w:r>
              <w:rPr>
                <w:color w:val="000000"/>
                <w:sz w:val="18"/>
              </w:rPr>
              <w:t xml:space="preserve">Scoped T1 to T7 records; T9 documents; named T12 files</w:t>
            </w:r>
          </w:p>
        </w:tc>
        <w:tc>
          <w:tcPr>
            <w:tcW w:type="dxa" w:w="3200"/>
            <w:vAlign w:val="center"/>
          </w:tcPr>
          <w:p>
            <w:pPr>
              <w:spacing w:after="0" w:before="0" w:line="240" w:lineRule="auto"/>
            </w:pPr>
            <w:r>
              <w:rPr>
                <w:color w:val="000000"/>
                <w:sz w:val="18"/>
              </w:rPr>
              <w:t xml:space="preserve">Evidence packs in T6</w:t>
            </w:r>
          </w:p>
        </w:tc>
      </w:tr>
      <w:tr>
        <w:trPr>
          <w:cantSplit/>
        </w:trPr>
        <w:tc>
          <w:tcPr>
            <w:tcW w:type="dxa" w:w="2200"/>
            <w:vAlign w:val="center"/>
          </w:tcPr>
          <w:p>
            <w:pPr>
              <w:spacing w:after="0" w:before="0" w:line="240" w:lineRule="auto"/>
            </w:pPr>
            <w:r>
              <w:rPr>
                <w:b/>
                <w:color w:val="000000"/>
                <w:sz w:val="18"/>
              </w:rPr>
              <w:t xml:space="preserve">X3</w:t>
            </w:r>
          </w:p>
        </w:tc>
        <w:tc>
          <w:tcPr>
            <w:tcW w:type="dxa" w:w="4824"/>
            <w:vAlign w:val="center"/>
          </w:tcPr>
          <w:p>
            <w:pPr>
              <w:spacing w:after="0" w:before="0" w:line="240" w:lineRule="auto"/>
            </w:pPr>
            <w:r>
              <w:rPr>
                <w:color w:val="000000"/>
                <w:sz w:val="18"/>
              </w:rPr>
              <w:t xml:space="preserve">Accepted outputs and evidence in T6; T3 and T11 at approved versions</w:t>
            </w:r>
          </w:p>
        </w:tc>
        <w:tc>
          <w:tcPr>
            <w:tcW w:type="dxa" w:w="3200"/>
            <w:vAlign w:val="center"/>
          </w:tcPr>
          <w:p>
            <w:pPr>
              <w:spacing w:after="0" w:before="0" w:line="240" w:lineRule="auto"/>
            </w:pPr>
            <w:r>
              <w:rPr>
                <w:color w:val="000000"/>
                <w:sz w:val="18"/>
              </w:rPr>
              <w:t xml:space="preserve">Drafts in T6</w:t>
            </w:r>
          </w:p>
        </w:tc>
      </w:tr>
      <w:tr>
        <w:trPr>
          <w:cantSplit/>
        </w:trPr>
        <w:tc>
          <w:tcPr>
            <w:tcW w:type="dxa" w:w="2200"/>
            <w:vAlign w:val="center"/>
          </w:tcPr>
          <w:p>
            <w:pPr>
              <w:spacing w:after="0" w:before="0" w:line="240" w:lineRule="auto"/>
            </w:pPr>
            <w:r>
              <w:rPr>
                <w:b/>
                <w:color w:val="000000"/>
                <w:sz w:val="18"/>
              </w:rPr>
              <w:t xml:space="preserve">X4</w:t>
            </w:r>
          </w:p>
        </w:tc>
        <w:tc>
          <w:tcPr>
            <w:tcW w:type="dxa" w:w="4824"/>
            <w:vAlign w:val="center"/>
          </w:tcPr>
          <w:p>
            <w:pPr>
              <w:spacing w:after="0" w:before="0" w:line="240" w:lineRule="auto"/>
            </w:pPr>
            <w:r>
              <w:rPr>
                <w:color w:val="000000"/>
                <w:sz w:val="18"/>
              </w:rPr>
              <w:t xml:space="preserve">T1, T3, T4, T5 and T11 at approved versions</w:t>
            </w:r>
          </w:p>
        </w:tc>
        <w:tc>
          <w:tcPr>
            <w:tcW w:type="dxa" w:w="3200"/>
            <w:vAlign w:val="center"/>
          </w:tcPr>
          <w:p>
            <w:pPr>
              <w:spacing w:after="0" w:before="0" w:line="240" w:lineRule="auto"/>
            </w:pPr>
            <w:r>
              <w:rPr>
                <w:color w:val="000000"/>
                <w:sz w:val="18"/>
              </w:rPr>
              <w:t xml:space="preserve">Check results in T6</w:t>
            </w:r>
          </w:p>
        </w:tc>
      </w:tr>
    </w:tbl>
    <w:p>
      <w:pPr>
        <w:spacing w:after="0"/>
      </w:pPr>
      <w:r>
        <w:rPr>
          <w:sz w:val="20"/>
        </w:rPr>
        <w:t xml:space="preserve">Payroll data is read only as totals and headcount by department; individual employee pay is never exposed to agents. Work that needs it stays with the accountants and FP&amp;A.</w:t>
      </w:r>
    </w:p>
    <w:p>
      <w:pPr>
        <w:pStyle w:val="Title"/>
        <w:pageBreakBefore/>
      </w:pPr>
      <w:r>
        <w:t>CFO office process guide</w:t>
      </w:r>
    </w:p>
    <w:p>
      <w:pPr>
        <w:pStyle w:val="Heading1"/>
      </w:pPr>
      <w:r>
        <w:t xml:space="preserve">Playbooks</w:t>
      </w:r>
    </w:p>
    <w:p>
      <w:pPr>
        <w:spacing w:after="100"/>
      </w:pPr>
      <w:r>
        <w:t xml:space="preserve">The operating model has four levels. The organisation assigns roles. Each SOP (FIN-01 to FIN-16), owned by one of those roles, sets what is done, by whom, when, and who approves. Each SOP where agents prepare work has one playbook, owned by the SOP owner, that tells the agents how to prepare it inside the SOP’s steps. Every task belongs to exactly one SOP, and agent-prepared tasks use that SOP’s playbook.</w:t>
      </w:r>
    </w:p>
    <w:p>
      <w:pPr>
        <w:spacing w:after="120"/>
      </w:pPr>
      <w:r>
        <w:t xml:space="preserve">The SOP governs and the playbook implements. A playbook never sets an approver, limit or threshold of its own: every agent output goes to the person the SOP names for that step, using the authority matrix in FIN-01. Playbooks change only through the same FIN-01 change record as their SOP, so an agent instruction can never quietly change a control.</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000"/>
        <w:gridCol w:w="3700"/>
        <w:gridCol w:w="2200"/>
        <w:gridCol w:w="3324"/>
      </w:tblGrid>
      <w:tr>
        <w:trPr>
          <w:tblHeader/>
        </w:trPr>
        <w:tc>
          <w:tcPr>
            <w:tcW w:type="dxa" w:w="1000"/>
            <w:shd w:val="clear" w:color="auto" w:fill="DCE6F1"/>
            <w:vAlign w:val="center"/>
          </w:tcPr>
          <w:p>
            <w:pPr>
              <w:spacing w:after="0" w:before="0" w:line="240" w:lineRule="auto"/>
            </w:pPr>
            <w:r>
              <w:rPr>
                <w:b/>
                <w:color w:val="000000"/>
                <w:sz w:val="16"/>
              </w:rPr>
              <w:t xml:space="preserve">Playbook</w:t>
            </w:r>
          </w:p>
        </w:tc>
        <w:tc>
          <w:tcPr>
            <w:tcW w:type="dxa" w:w="3700"/>
            <w:shd w:val="clear" w:color="auto" w:fill="DCE6F1"/>
            <w:vAlign w:val="center"/>
          </w:tcPr>
          <w:p>
            <w:pPr>
              <w:spacing w:after="0" w:before="0" w:line="240" w:lineRule="auto"/>
            </w:pPr>
            <w:r>
              <w:rPr>
                <w:b/>
                <w:color w:val="000000"/>
                <w:sz w:val="16"/>
              </w:rPr>
              <w:t xml:space="preserve">Serves SOP</w:t>
            </w:r>
          </w:p>
        </w:tc>
        <w:tc>
          <w:tcPr>
            <w:tcW w:type="dxa" w:w="2200"/>
            <w:shd w:val="clear" w:color="auto" w:fill="DCE6F1"/>
            <w:vAlign w:val="center"/>
          </w:tcPr>
          <w:p>
            <w:pPr>
              <w:spacing w:after="0" w:before="0" w:line="240" w:lineRule="auto"/>
            </w:pPr>
            <w:r>
              <w:rPr>
                <w:b/>
                <w:color w:val="000000"/>
                <w:sz w:val="16"/>
              </w:rPr>
              <w:t xml:space="preserve">Owner (the SOP owner)</w:t>
            </w:r>
          </w:p>
        </w:tc>
        <w:tc>
          <w:tcPr>
            <w:tcW w:type="dxa" w:w="3324"/>
            <w:shd w:val="clear" w:color="auto" w:fill="DCE6F1"/>
            <w:vAlign w:val="center"/>
          </w:tcPr>
          <w:p>
            <w:pPr>
              <w:spacing w:after="0" w:before="0" w:line="240" w:lineRule="auto"/>
            </w:pPr>
            <w:r>
              <w:rPr>
                <w:b/>
                <w:color w:val="000000"/>
                <w:sz w:val="16"/>
              </w:rPr>
              <w:t xml:space="preserve">Agents prepare</w:t>
            </w:r>
          </w:p>
        </w:tc>
      </w:tr>
      <w:tr>
        <w:trPr>
          <w:cantSplit/>
        </w:trPr>
        <w:tc>
          <w:tcPr>
            <w:tcW w:type="dxa" w:w="1000"/>
            <w:vAlign w:val="center"/>
          </w:tcPr>
          <w:p>
            <w:pPr>
              <w:spacing w:after="0" w:before="0" w:line="240" w:lineRule="auto"/>
            </w:pPr>
            <w:r>
              <w:rPr>
                <w:b/>
                <w:color w:val="000000"/>
                <w:sz w:val="16"/>
              </w:rPr>
              <w:t xml:space="preserve">PB-01</w:t>
            </w:r>
          </w:p>
        </w:tc>
        <w:tc>
          <w:tcPr>
            <w:tcW w:type="dxa" w:w="3700"/>
            <w:vAlign w:val="center"/>
          </w:tcPr>
          <w:p>
            <w:pPr>
              <w:spacing w:after="0" w:before="0" w:line="240" w:lineRule="auto"/>
            </w:pPr>
            <w:r>
              <w:rPr>
                <w:color w:val="000000"/>
                <w:sz w:val="16"/>
              </w:rPr>
              <w:t xml:space="preserve">FIN-01 Finance governance and administration</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Authority-limit reviews, related-party screening, finance calendar, exceptions</w:t>
            </w:r>
          </w:p>
        </w:tc>
      </w:tr>
      <w:tr>
        <w:trPr>
          <w:cantSplit/>
        </w:trPr>
        <w:tc>
          <w:tcPr>
            <w:tcW w:type="dxa" w:w="1000"/>
            <w:vAlign w:val="center"/>
          </w:tcPr>
          <w:p>
            <w:pPr>
              <w:spacing w:after="0" w:before="0" w:line="240" w:lineRule="auto"/>
            </w:pPr>
            <w:r>
              <w:rPr>
                <w:b/>
                <w:color w:val="000000"/>
                <w:sz w:val="16"/>
              </w:rPr>
              <w:t xml:space="preserve">PB-02</w:t>
            </w:r>
          </w:p>
        </w:tc>
        <w:tc>
          <w:tcPr>
            <w:tcW w:type="dxa" w:w="3700"/>
            <w:vAlign w:val="center"/>
          </w:tcPr>
          <w:p>
            <w:pPr>
              <w:spacing w:after="0" w:before="0" w:line="240" w:lineRule="auto"/>
            </w:pPr>
            <w:r>
              <w:rPr>
                <w:color w:val="000000"/>
                <w:sz w:val="16"/>
              </w:rPr>
              <w:t xml:space="preserve">FIN-02 Purchasing and supplier management</w:t>
            </w:r>
          </w:p>
        </w:tc>
        <w:tc>
          <w:tcPr>
            <w:tcW w:type="dxa" w:w="2200"/>
            <w:vAlign w:val="center"/>
          </w:tcPr>
          <w:p>
            <w:pPr>
              <w:spacing w:after="0" w:before="0" w:line="240" w:lineRule="auto"/>
            </w:pPr>
            <w:r>
              <w:rPr>
                <w:color w:val="000000"/>
                <w:sz w:val="16"/>
              </w:rPr>
              <w:t xml:space="preserve">AP team lead</w:t>
            </w:r>
          </w:p>
        </w:tc>
        <w:tc>
          <w:tcPr>
            <w:tcW w:type="dxa" w:w="3324"/>
            <w:vAlign w:val="center"/>
          </w:tcPr>
          <w:p>
            <w:pPr>
              <w:spacing w:after="0" w:before="0" w:line="240" w:lineRule="auto"/>
            </w:pPr>
            <w:r>
              <w:rPr>
                <w:color w:val="000000"/>
                <w:sz w:val="16"/>
              </w:rPr>
              <w:t xml:space="preserve">Supplier onboarding checks, bank-detail requests for call-back, requisitions, contracts, inactive suppliers</w:t>
            </w:r>
          </w:p>
        </w:tc>
      </w:tr>
      <w:tr>
        <w:trPr>
          <w:cantSplit/>
        </w:trPr>
        <w:tc>
          <w:tcPr>
            <w:tcW w:type="dxa" w:w="1000"/>
            <w:vAlign w:val="center"/>
          </w:tcPr>
          <w:p>
            <w:pPr>
              <w:spacing w:after="0" w:before="0" w:line="240" w:lineRule="auto"/>
            </w:pPr>
            <w:r>
              <w:rPr>
                <w:b/>
                <w:color w:val="000000"/>
                <w:sz w:val="16"/>
              </w:rPr>
              <w:t xml:space="preserve">PB-03</w:t>
            </w:r>
          </w:p>
        </w:tc>
        <w:tc>
          <w:tcPr>
            <w:tcW w:type="dxa" w:w="3700"/>
            <w:vAlign w:val="center"/>
          </w:tcPr>
          <w:p>
            <w:pPr>
              <w:spacing w:after="0" w:before="0" w:line="240" w:lineRule="auto"/>
            </w:pPr>
            <w:r>
              <w:rPr>
                <w:color w:val="000000"/>
                <w:sz w:val="16"/>
              </w:rPr>
              <w:t xml:space="preserve">FIN-03 Accounts payable and payments</w:t>
            </w:r>
          </w:p>
        </w:tc>
        <w:tc>
          <w:tcPr>
            <w:tcW w:type="dxa" w:w="2200"/>
            <w:vAlign w:val="center"/>
          </w:tcPr>
          <w:p>
            <w:pPr>
              <w:spacing w:after="0" w:before="0" w:line="240" w:lineRule="auto"/>
            </w:pPr>
            <w:r>
              <w:rPr>
                <w:color w:val="000000"/>
                <w:sz w:val="16"/>
              </w:rPr>
              <w:t xml:space="preserve">AP team lead</w:t>
            </w:r>
          </w:p>
        </w:tc>
        <w:tc>
          <w:tcPr>
            <w:tcW w:type="dxa" w:w="3324"/>
            <w:vAlign w:val="center"/>
          </w:tcPr>
          <w:p>
            <w:pPr>
              <w:spacing w:after="0" w:before="0" w:line="240" w:lineRule="auto"/>
            </w:pPr>
            <w:r>
              <w:rPr>
                <w:color w:val="000000"/>
                <w:sz w:val="16"/>
              </w:rPr>
              <w:t xml:space="preserve">Invoice exceptions, coding and VAT checks, duplicates, credit notes, supplier queries, payment run checks</w:t>
            </w:r>
          </w:p>
        </w:tc>
      </w:tr>
      <w:tr>
        <w:trPr>
          <w:cantSplit/>
        </w:trPr>
        <w:tc>
          <w:tcPr>
            <w:tcW w:type="dxa" w:w="1000"/>
            <w:vAlign w:val="center"/>
          </w:tcPr>
          <w:p>
            <w:pPr>
              <w:spacing w:after="0" w:before="0" w:line="240" w:lineRule="auto"/>
            </w:pPr>
            <w:r>
              <w:rPr>
                <w:b/>
                <w:color w:val="000000"/>
                <w:sz w:val="16"/>
              </w:rPr>
              <w:t xml:space="preserve">PB-04</w:t>
            </w:r>
          </w:p>
        </w:tc>
        <w:tc>
          <w:tcPr>
            <w:tcW w:type="dxa" w:w="3700"/>
            <w:vAlign w:val="center"/>
          </w:tcPr>
          <w:p>
            <w:pPr>
              <w:spacing w:after="0" w:before="0" w:line="240" w:lineRule="auto"/>
            </w:pPr>
            <w:r>
              <w:rPr>
                <w:color w:val="000000"/>
                <w:sz w:val="16"/>
              </w:rPr>
              <w:t xml:space="preserve">FIN-04 Customer set-up, billing and revenue</w:t>
            </w:r>
          </w:p>
        </w:tc>
        <w:tc>
          <w:tcPr>
            <w:tcW w:type="dxa" w:w="2200"/>
            <w:vAlign w:val="center"/>
          </w:tcPr>
          <w:p>
            <w:pPr>
              <w:spacing w:after="0" w:before="0" w:line="240" w:lineRule="auto"/>
            </w:pPr>
            <w:r>
              <w:rPr>
                <w:color w:val="000000"/>
                <w:sz w:val="16"/>
              </w:rPr>
              <w:t xml:space="preserve">AR team lead</w:t>
            </w:r>
          </w:p>
        </w:tc>
        <w:tc>
          <w:tcPr>
            <w:tcW w:type="dxa" w:w="3324"/>
            <w:vAlign w:val="center"/>
          </w:tcPr>
          <w:p>
            <w:pPr>
              <w:spacing w:after="0" w:before="0" w:line="240" w:lineRule="auto"/>
            </w:pPr>
            <w:r>
              <w:rPr>
                <w:color w:val="000000"/>
                <w:sz w:val="16"/>
              </w:rPr>
              <w:t xml:space="preserve">Billing data, contract reviews for revenue, billing corrections, credit checks</w:t>
            </w:r>
          </w:p>
        </w:tc>
      </w:tr>
      <w:tr>
        <w:trPr>
          <w:cantSplit/>
        </w:trPr>
        <w:tc>
          <w:tcPr>
            <w:tcW w:type="dxa" w:w="1000"/>
            <w:vAlign w:val="center"/>
          </w:tcPr>
          <w:p>
            <w:pPr>
              <w:spacing w:after="0" w:before="0" w:line="240" w:lineRule="auto"/>
            </w:pPr>
            <w:r>
              <w:rPr>
                <w:b/>
                <w:color w:val="000000"/>
                <w:sz w:val="16"/>
              </w:rPr>
              <w:t xml:space="preserve">PB-05</w:t>
            </w:r>
          </w:p>
        </w:tc>
        <w:tc>
          <w:tcPr>
            <w:tcW w:type="dxa" w:w="3700"/>
            <w:vAlign w:val="center"/>
          </w:tcPr>
          <w:p>
            <w:pPr>
              <w:spacing w:after="0" w:before="0" w:line="240" w:lineRule="auto"/>
            </w:pPr>
            <w:r>
              <w:rPr>
                <w:color w:val="000000"/>
                <w:sz w:val="16"/>
              </w:rPr>
              <w:t xml:space="preserve">FIN-05 Receipts and credit control</w:t>
            </w:r>
          </w:p>
        </w:tc>
        <w:tc>
          <w:tcPr>
            <w:tcW w:type="dxa" w:w="2200"/>
            <w:vAlign w:val="center"/>
          </w:tcPr>
          <w:p>
            <w:pPr>
              <w:spacing w:after="0" w:before="0" w:line="240" w:lineRule="auto"/>
            </w:pPr>
            <w:r>
              <w:rPr>
                <w:color w:val="000000"/>
                <w:sz w:val="16"/>
              </w:rPr>
              <w:t xml:space="preserve">AR team lead</w:t>
            </w:r>
          </w:p>
        </w:tc>
        <w:tc>
          <w:tcPr>
            <w:tcW w:type="dxa" w:w="3324"/>
            <w:vAlign w:val="center"/>
          </w:tcPr>
          <w:p>
            <w:pPr>
              <w:spacing w:after="0" w:before="0" w:line="240" w:lineRule="auto"/>
            </w:pPr>
            <w:r>
              <w:rPr>
                <w:color w:val="000000"/>
                <w:sz w:val="16"/>
              </w:rPr>
              <w:t xml:space="preserve">Receipt matching, disputes, chasing, payment plans, provision workings</w:t>
            </w:r>
          </w:p>
        </w:tc>
      </w:tr>
      <w:tr>
        <w:trPr>
          <w:cantSplit/>
        </w:trPr>
        <w:tc>
          <w:tcPr>
            <w:tcW w:type="dxa" w:w="1000"/>
            <w:vAlign w:val="center"/>
          </w:tcPr>
          <w:p>
            <w:pPr>
              <w:spacing w:after="0" w:before="0" w:line="240" w:lineRule="auto"/>
            </w:pPr>
            <w:r>
              <w:rPr>
                <w:b/>
                <w:color w:val="000000"/>
                <w:sz w:val="16"/>
              </w:rPr>
              <w:t xml:space="preserve">PB-06</w:t>
            </w:r>
          </w:p>
        </w:tc>
        <w:tc>
          <w:tcPr>
            <w:tcW w:type="dxa" w:w="3700"/>
            <w:vAlign w:val="center"/>
          </w:tcPr>
          <w:p>
            <w:pPr>
              <w:spacing w:after="0" w:before="0" w:line="240" w:lineRule="auto"/>
            </w:pPr>
            <w:r>
              <w:rPr>
                <w:color w:val="000000"/>
                <w:sz w:val="16"/>
              </w:rPr>
              <w:t xml:space="preserve">FIN-06 Banking, cash and treasury</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Bank reconciliation items, 13-week forecast, facility and covenant workings</w:t>
            </w:r>
          </w:p>
        </w:tc>
      </w:tr>
      <w:tr>
        <w:trPr>
          <w:cantSplit/>
        </w:trPr>
        <w:tc>
          <w:tcPr>
            <w:tcW w:type="dxa" w:w="1000"/>
            <w:vAlign w:val="center"/>
          </w:tcPr>
          <w:p>
            <w:pPr>
              <w:spacing w:after="0" w:before="0" w:line="240" w:lineRule="auto"/>
            </w:pPr>
            <w:r>
              <w:rPr>
                <w:b/>
                <w:color w:val="000000"/>
                <w:sz w:val="16"/>
              </w:rPr>
              <w:t xml:space="preserve">PB-07</w:t>
            </w:r>
          </w:p>
        </w:tc>
        <w:tc>
          <w:tcPr>
            <w:tcW w:type="dxa" w:w="3700"/>
            <w:vAlign w:val="center"/>
          </w:tcPr>
          <w:p>
            <w:pPr>
              <w:spacing w:after="0" w:before="0" w:line="240" w:lineRule="auto"/>
            </w:pPr>
            <w:r>
              <w:rPr>
                <w:color w:val="000000"/>
                <w:sz w:val="16"/>
              </w:rPr>
              <w:t xml:space="preserve">FIN-07 Payroll and employee payments</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Bureau checks and service review, using department totals only</w:t>
            </w:r>
          </w:p>
        </w:tc>
      </w:tr>
      <w:tr>
        <w:trPr>
          <w:cantSplit/>
        </w:trPr>
        <w:tc>
          <w:tcPr>
            <w:tcW w:type="dxa" w:w="1000"/>
            <w:vAlign w:val="center"/>
          </w:tcPr>
          <w:p>
            <w:pPr>
              <w:spacing w:after="0" w:before="0" w:line="240" w:lineRule="auto"/>
            </w:pPr>
            <w:r>
              <w:rPr>
                <w:b/>
                <w:color w:val="000000"/>
                <w:sz w:val="16"/>
              </w:rPr>
              <w:t xml:space="preserve">PB-08</w:t>
            </w:r>
          </w:p>
        </w:tc>
        <w:tc>
          <w:tcPr>
            <w:tcW w:type="dxa" w:w="3700"/>
            <w:vAlign w:val="center"/>
          </w:tcPr>
          <w:p>
            <w:pPr>
              <w:spacing w:after="0" w:before="0" w:line="240" w:lineRule="auto"/>
            </w:pPr>
            <w:r>
              <w:rPr>
                <w:color w:val="000000"/>
                <w:sz w:val="16"/>
              </w:rPr>
              <w:t xml:space="preserve">FIN-08 Expenses and corporate cards</w:t>
            </w:r>
          </w:p>
        </w:tc>
        <w:tc>
          <w:tcPr>
            <w:tcW w:type="dxa" w:w="2200"/>
            <w:vAlign w:val="center"/>
          </w:tcPr>
          <w:p>
            <w:pPr>
              <w:spacing w:after="0" w:before="0" w:line="240" w:lineRule="auto"/>
            </w:pPr>
            <w:r>
              <w:rPr>
                <w:color w:val="000000"/>
                <w:sz w:val="16"/>
              </w:rPr>
              <w:t xml:space="preserve">AP team lead</w:t>
            </w:r>
          </w:p>
        </w:tc>
        <w:tc>
          <w:tcPr>
            <w:tcW w:type="dxa" w:w="3324"/>
            <w:vAlign w:val="center"/>
          </w:tcPr>
          <w:p>
            <w:pPr>
              <w:spacing w:after="0" w:before="0" w:line="240" w:lineRule="auto"/>
            </w:pPr>
            <w:r>
              <w:rPr>
                <w:color w:val="000000"/>
                <w:sz w:val="16"/>
              </w:rPr>
              <w:t xml:space="preserve">Expense claim checks, card reconciliations</w:t>
            </w:r>
          </w:p>
        </w:tc>
      </w:tr>
      <w:tr>
        <w:trPr>
          <w:cantSplit/>
        </w:trPr>
        <w:tc>
          <w:tcPr>
            <w:tcW w:type="dxa" w:w="1000"/>
            <w:vAlign w:val="center"/>
          </w:tcPr>
          <w:p>
            <w:pPr>
              <w:spacing w:after="0" w:before="0" w:line="240" w:lineRule="auto"/>
            </w:pPr>
            <w:r>
              <w:rPr>
                <w:b/>
                <w:color w:val="000000"/>
                <w:sz w:val="16"/>
              </w:rPr>
              <w:t xml:space="preserve">PB-09</w:t>
            </w:r>
          </w:p>
        </w:tc>
        <w:tc>
          <w:tcPr>
            <w:tcW w:type="dxa" w:w="3700"/>
            <w:vAlign w:val="center"/>
          </w:tcPr>
          <w:p>
            <w:pPr>
              <w:spacing w:after="0" w:before="0" w:line="240" w:lineRule="auto"/>
            </w:pPr>
            <w:r>
              <w:rPr>
                <w:color w:val="000000"/>
                <w:sz w:val="16"/>
              </w:rPr>
              <w:t xml:space="preserve">FIN-09 General ledger and accounting adjustments</w:t>
            </w:r>
          </w:p>
        </w:tc>
        <w:tc>
          <w:tcPr>
            <w:tcW w:type="dxa" w:w="2200"/>
            <w:vAlign w:val="center"/>
          </w:tcPr>
          <w:p>
            <w:pPr>
              <w:spacing w:after="0" w:before="0" w:line="240" w:lineRule="auto"/>
            </w:pPr>
            <w:r>
              <w:rPr>
                <w:color w:val="000000"/>
                <w:sz w:val="16"/>
              </w:rPr>
              <w:t xml:space="preserve">Finance Manager</w:t>
            </w:r>
          </w:p>
        </w:tc>
        <w:tc>
          <w:tcPr>
            <w:tcW w:type="dxa" w:w="3324"/>
            <w:vAlign w:val="center"/>
          </w:tcPr>
          <w:p>
            <w:pPr>
              <w:spacing w:after="0" w:before="0" w:line="240" w:lineRule="auto"/>
            </w:pPr>
            <w:r>
              <w:rPr>
                <w:color w:val="000000"/>
                <w:sz w:val="16"/>
              </w:rPr>
              <w:t xml:space="preserve">Journals with support, recurring and automated journal reviews, provision workings</w:t>
            </w:r>
          </w:p>
        </w:tc>
      </w:tr>
      <w:tr>
        <w:trPr>
          <w:cantSplit/>
        </w:trPr>
        <w:tc>
          <w:tcPr>
            <w:tcW w:type="dxa" w:w="1000"/>
            <w:vAlign w:val="center"/>
          </w:tcPr>
          <w:p>
            <w:pPr>
              <w:spacing w:after="0" w:before="0" w:line="240" w:lineRule="auto"/>
            </w:pPr>
            <w:r>
              <w:rPr>
                <w:b/>
                <w:color w:val="000000"/>
                <w:sz w:val="16"/>
              </w:rPr>
              <w:t xml:space="preserve">PB-10</w:t>
            </w:r>
          </w:p>
        </w:tc>
        <w:tc>
          <w:tcPr>
            <w:tcW w:type="dxa" w:w="3700"/>
            <w:vAlign w:val="center"/>
          </w:tcPr>
          <w:p>
            <w:pPr>
              <w:spacing w:after="0" w:before="0" w:line="240" w:lineRule="auto"/>
            </w:pPr>
            <w:r>
              <w:rPr>
                <w:color w:val="000000"/>
                <w:sz w:val="16"/>
              </w:rPr>
              <w:t xml:space="preserve">FIN-10 Month-end close and management reporting</w:t>
            </w:r>
          </w:p>
        </w:tc>
        <w:tc>
          <w:tcPr>
            <w:tcW w:type="dxa" w:w="2200"/>
            <w:vAlign w:val="center"/>
          </w:tcPr>
          <w:p>
            <w:pPr>
              <w:spacing w:after="0" w:before="0" w:line="240" w:lineRule="auto"/>
            </w:pPr>
            <w:r>
              <w:rPr>
                <w:color w:val="000000"/>
                <w:sz w:val="16"/>
              </w:rPr>
              <w:t xml:space="preserve">Finance Manager (close), CFO (reporting)</w:t>
            </w:r>
          </w:p>
        </w:tc>
        <w:tc>
          <w:tcPr>
            <w:tcW w:type="dxa" w:w="3324"/>
            <w:vAlign w:val="center"/>
          </w:tcPr>
          <w:p>
            <w:pPr>
              <w:spacing w:after="0" w:before="0" w:line="240" w:lineRule="auto"/>
            </w:pPr>
            <w:r>
              <w:rPr>
                <w:color w:val="000000"/>
                <w:sz w:val="16"/>
              </w:rPr>
              <w:t xml:space="preserve">Reconciliations and breaks, close pack, management pack drafting and tie-out</w:t>
            </w:r>
          </w:p>
        </w:tc>
      </w:tr>
      <w:tr>
        <w:trPr>
          <w:cantSplit/>
        </w:trPr>
        <w:tc>
          <w:tcPr>
            <w:tcW w:type="dxa" w:w="1000"/>
            <w:vAlign w:val="center"/>
          </w:tcPr>
          <w:p>
            <w:pPr>
              <w:spacing w:after="0" w:before="0" w:line="240" w:lineRule="auto"/>
            </w:pPr>
            <w:r>
              <w:rPr>
                <w:b/>
                <w:color w:val="000000"/>
                <w:sz w:val="16"/>
              </w:rPr>
              <w:t xml:space="preserve">PB-11</w:t>
            </w:r>
          </w:p>
        </w:tc>
        <w:tc>
          <w:tcPr>
            <w:tcW w:type="dxa" w:w="3700"/>
            <w:vAlign w:val="center"/>
          </w:tcPr>
          <w:p>
            <w:pPr>
              <w:spacing w:after="0" w:before="0" w:line="240" w:lineRule="auto"/>
            </w:pPr>
            <w:r>
              <w:rPr>
                <w:color w:val="000000"/>
                <w:sz w:val="16"/>
              </w:rPr>
              <w:t xml:space="preserve">FIN-11 Budgeting, forecasting and business support</w:t>
            </w:r>
          </w:p>
        </w:tc>
        <w:tc>
          <w:tcPr>
            <w:tcW w:type="dxa" w:w="2200"/>
            <w:vAlign w:val="center"/>
          </w:tcPr>
          <w:p>
            <w:pPr>
              <w:spacing w:after="0" w:before="0" w:line="240" w:lineRule="auto"/>
            </w:pPr>
            <w:r>
              <w:rPr>
                <w:color w:val="000000"/>
                <w:sz w:val="16"/>
              </w:rPr>
              <w:t xml:space="preserve">FP&amp;A Manager</w:t>
            </w:r>
          </w:p>
        </w:tc>
        <w:tc>
          <w:tcPr>
            <w:tcW w:type="dxa" w:w="3324"/>
            <w:vAlign w:val="center"/>
          </w:tcPr>
          <w:p>
            <w:pPr>
              <w:spacing w:after="0" w:before="0" w:line="240" w:lineRule="auto"/>
            </w:pPr>
            <w:r>
              <w:rPr>
                <w:color w:val="000000"/>
                <w:sz w:val="16"/>
              </w:rPr>
              <w:t xml:space="preserve">Budget and reforecast consolidation, variance commentary, analysis, business cases, deals</w:t>
            </w:r>
          </w:p>
        </w:tc>
      </w:tr>
      <w:tr>
        <w:trPr>
          <w:cantSplit/>
        </w:trPr>
        <w:tc>
          <w:tcPr>
            <w:tcW w:type="dxa" w:w="1000"/>
            <w:vAlign w:val="center"/>
          </w:tcPr>
          <w:p>
            <w:pPr>
              <w:spacing w:after="0" w:before="0" w:line="240" w:lineRule="auto"/>
            </w:pPr>
            <w:r>
              <w:rPr>
                <w:b/>
                <w:color w:val="000000"/>
                <w:sz w:val="16"/>
              </w:rPr>
              <w:t xml:space="preserve">PB-12</w:t>
            </w:r>
          </w:p>
        </w:tc>
        <w:tc>
          <w:tcPr>
            <w:tcW w:type="dxa" w:w="3700"/>
            <w:vAlign w:val="center"/>
          </w:tcPr>
          <w:p>
            <w:pPr>
              <w:spacing w:after="0" w:before="0" w:line="240" w:lineRule="auto"/>
            </w:pPr>
            <w:r>
              <w:rPr>
                <w:color w:val="000000"/>
                <w:sz w:val="16"/>
              </w:rPr>
              <w:t xml:space="preserve">FIN-12 Fixed assets and leases</w:t>
            </w:r>
          </w:p>
        </w:tc>
        <w:tc>
          <w:tcPr>
            <w:tcW w:type="dxa" w:w="2200"/>
            <w:vAlign w:val="center"/>
          </w:tcPr>
          <w:p>
            <w:pPr>
              <w:spacing w:after="0" w:before="0" w:line="240" w:lineRule="auto"/>
            </w:pPr>
            <w:r>
              <w:rPr>
                <w:color w:val="000000"/>
                <w:sz w:val="16"/>
              </w:rPr>
              <w:t xml:space="preserve">Finance Manager</w:t>
            </w:r>
          </w:p>
        </w:tc>
        <w:tc>
          <w:tcPr>
            <w:tcW w:type="dxa" w:w="3324"/>
            <w:vAlign w:val="center"/>
          </w:tcPr>
          <w:p>
            <w:pPr>
              <w:spacing w:after="0" w:before="0" w:line="240" w:lineRule="auto"/>
            </w:pPr>
            <w:r>
              <w:rPr>
                <w:color w:val="000000"/>
                <w:sz w:val="16"/>
              </w:rPr>
              <w:t xml:space="preserve">Capital items, assets under construction, existence lists, impairment indicators</w:t>
            </w:r>
          </w:p>
        </w:tc>
      </w:tr>
      <w:tr>
        <w:trPr>
          <w:cantSplit/>
        </w:trPr>
        <w:tc>
          <w:tcPr>
            <w:tcW w:type="dxa" w:w="1000"/>
            <w:vAlign w:val="center"/>
          </w:tcPr>
          <w:p>
            <w:pPr>
              <w:spacing w:after="0" w:before="0" w:line="240" w:lineRule="auto"/>
            </w:pPr>
            <w:r>
              <w:rPr>
                <w:b/>
                <w:color w:val="000000"/>
                <w:sz w:val="16"/>
              </w:rPr>
              <w:t xml:space="preserve">PB-13</w:t>
            </w:r>
          </w:p>
        </w:tc>
        <w:tc>
          <w:tcPr>
            <w:tcW w:type="dxa" w:w="3700"/>
            <w:vAlign w:val="center"/>
          </w:tcPr>
          <w:p>
            <w:pPr>
              <w:spacing w:after="0" w:before="0" w:line="240" w:lineRule="auto"/>
            </w:pPr>
            <w:r>
              <w:rPr>
                <w:color w:val="000000"/>
                <w:sz w:val="16"/>
              </w:rPr>
              <w:t xml:space="preserve">FIN-13 Tax compliance</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VAT reconciliations, tax codes, corporation tax workings, tax payment preparation</w:t>
            </w:r>
          </w:p>
        </w:tc>
      </w:tr>
      <w:tr>
        <w:trPr>
          <w:cantSplit/>
        </w:trPr>
        <w:tc>
          <w:tcPr>
            <w:tcW w:type="dxa" w:w="1000"/>
            <w:vAlign w:val="center"/>
          </w:tcPr>
          <w:p>
            <w:pPr>
              <w:spacing w:after="0" w:before="0" w:line="240" w:lineRule="auto"/>
            </w:pPr>
            <w:r>
              <w:rPr>
                <w:b/>
                <w:color w:val="000000"/>
                <w:sz w:val="16"/>
              </w:rPr>
              <w:t xml:space="preserve">PB-14</w:t>
            </w:r>
          </w:p>
        </w:tc>
        <w:tc>
          <w:tcPr>
            <w:tcW w:type="dxa" w:w="3700"/>
            <w:vAlign w:val="center"/>
          </w:tcPr>
          <w:p>
            <w:pPr>
              <w:spacing w:after="0" w:before="0" w:line="240" w:lineRule="auto"/>
            </w:pPr>
            <w:r>
              <w:rPr>
                <w:color w:val="000000"/>
                <w:sz w:val="16"/>
              </w:rPr>
              <w:t xml:space="preserve">FIN-14 Year-end, statutory accounts and audit</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Audit schedules, draft accounts, judgements, going concern and later-events papers</w:t>
            </w:r>
          </w:p>
        </w:tc>
      </w:tr>
      <w:tr>
        <w:trPr>
          <w:cantSplit/>
        </w:trPr>
        <w:tc>
          <w:tcPr>
            <w:tcW w:type="dxa" w:w="1000"/>
            <w:vAlign w:val="center"/>
          </w:tcPr>
          <w:p>
            <w:pPr>
              <w:spacing w:after="0" w:before="0" w:line="240" w:lineRule="auto"/>
            </w:pPr>
            <w:r>
              <w:rPr>
                <w:b/>
                <w:color w:val="000000"/>
                <w:sz w:val="16"/>
              </w:rPr>
              <w:t xml:space="preserve">PB-15</w:t>
            </w:r>
          </w:p>
        </w:tc>
        <w:tc>
          <w:tcPr>
            <w:tcW w:type="dxa" w:w="3700"/>
            <w:vAlign w:val="center"/>
          </w:tcPr>
          <w:p>
            <w:pPr>
              <w:spacing w:after="0" w:before="0" w:line="240" w:lineRule="auto"/>
            </w:pPr>
            <w:r>
              <w:rPr>
                <w:color w:val="000000"/>
                <w:sz w:val="16"/>
              </w:rPr>
              <w:t xml:space="preserve">FIN-15 Finance systems, data and records</w:t>
            </w:r>
          </w:p>
        </w:tc>
        <w:tc>
          <w:tcPr>
            <w:tcW w:type="dxa" w:w="2200"/>
            <w:vAlign w:val="center"/>
          </w:tcPr>
          <w:p>
            <w:pPr>
              <w:spacing w:after="0" w:before="0" w:line="240" w:lineRule="auto"/>
            </w:pPr>
            <w:r>
              <w:rPr>
                <w:color w:val="000000"/>
                <w:sz w:val="16"/>
              </w:rPr>
              <w:t xml:space="preserve">Finance Manager</w:t>
            </w:r>
          </w:p>
        </w:tc>
        <w:tc>
          <w:tcPr>
            <w:tcW w:type="dxa" w:w="3324"/>
            <w:vAlign w:val="center"/>
          </w:tcPr>
          <w:p>
            <w:pPr>
              <w:spacing w:after="0" w:before="0" w:line="240" w:lineRule="auto"/>
            </w:pPr>
            <w:r>
              <w:rPr>
                <w:color w:val="000000"/>
                <w:sz w:val="16"/>
              </w:rPr>
              <w:t xml:space="preserve">Feed completeness checks, key spreadsheet reviews</w:t>
            </w:r>
          </w:p>
        </w:tc>
      </w:tr>
      <w:tr>
        <w:trPr>
          <w:cantSplit/>
        </w:trPr>
        <w:tc>
          <w:tcPr>
            <w:tcW w:type="dxa" w:w="1000"/>
            <w:vAlign w:val="center"/>
          </w:tcPr>
          <w:p>
            <w:pPr>
              <w:spacing w:after="0" w:before="0" w:line="240" w:lineRule="auto"/>
            </w:pPr>
            <w:r>
              <w:rPr>
                <w:b/>
                <w:color w:val="000000"/>
                <w:sz w:val="16"/>
              </w:rPr>
              <w:t xml:space="preserve">PB-16</w:t>
            </w:r>
          </w:p>
        </w:tc>
        <w:tc>
          <w:tcPr>
            <w:tcW w:type="dxa" w:w="3700"/>
            <w:vAlign w:val="center"/>
          </w:tcPr>
          <w:p>
            <w:pPr>
              <w:spacing w:after="0" w:before="0" w:line="240" w:lineRule="auto"/>
            </w:pPr>
            <w:r>
              <w:rPr>
                <w:color w:val="000000"/>
                <w:sz w:val="16"/>
              </w:rPr>
              <w:t xml:space="preserve">FIN-16 Control monitoring, incidents and continuity</w:t>
            </w:r>
          </w:p>
        </w:tc>
        <w:tc>
          <w:tcPr>
            <w:tcW w:type="dxa" w:w="2200"/>
            <w:vAlign w:val="center"/>
          </w:tcPr>
          <w:p>
            <w:pPr>
              <w:spacing w:after="0" w:before="0" w:line="240" w:lineRule="auto"/>
            </w:pPr>
            <w:r>
              <w:rPr>
                <w:color w:val="000000"/>
                <w:sz w:val="16"/>
              </w:rPr>
              <w:t xml:space="preserve">Financial Controller</w:t>
            </w:r>
          </w:p>
        </w:tc>
        <w:tc>
          <w:tcPr>
            <w:tcW w:type="dxa" w:w="3324"/>
            <w:vAlign w:val="center"/>
          </w:tcPr>
          <w:p>
            <w:pPr>
              <w:spacing w:after="0" w:before="0" w:line="240" w:lineRule="auto"/>
            </w:pPr>
            <w:r>
              <w:rPr>
                <w:color w:val="000000"/>
                <w:sz w:val="16"/>
              </w:rPr>
              <w:t xml:space="preserve">Control evidence and samples, risk and control register, provider reviews</w:t>
            </w:r>
          </w:p>
        </w:tc>
      </w:tr>
    </w:tbl>
    <w:p>
      <w:pPr>
        <w:spacing w:after="60"/>
      </w:pPr>
      <w:r>
        <w:rPr>
          <w:sz w:val="17"/>
        </w:rPr>
        <w:t xml:space="preserve">In the simulation every task carries its SOP, every agent step uses its SOP’s playbook, and acceptance gates check that every task belongs to one SOP, that each playbook is owned by its SOP owner, that agents hand every output to a person, and that no playbook names an approver. Owners follow the assumed organisation </w:t>
      </w:r>
      <w:r>
        <w:rPr>
          <w:sz w:val="17"/>
          <w:highlight w:val="yellow"/>
        </w:rPr>
        <w:t xml:space="preserve">[confirm against the organisation chart]</w:t>
      </w:r>
      <w:r>
        <w:rPr>
          <w:sz w:val="17"/>
        </w:rPr>
        <w:t xml:space="preserve">.</w:t>
      </w:r>
    </w:p>
    <w:p>
      <w:pPr>
        <w:pStyle w:val="Heading2"/>
      </w:pPr>
      <w:r>
        <w:t xml:space="preserve">Processes aligned with the SOPs</w:t>
      </w:r>
    </w:p>
    <w:p>
      <w:pPr>
        <w:spacing w:after="100"/>
      </w:pPr>
      <w:r>
        <w:t xml:space="preserve">Processes follow the work end to end and carry the service targets. Each is now a group of whole SOPs, so every task rolls up cleanly from task to SOP to process, and a process never sets rules of its own. The nine processes replace the original ten, whose boundaries cut across SOPs; Part A keeps the original ten as the description of today’s work.</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600"/>
        <w:gridCol w:w="2800"/>
        <w:gridCol w:w="4824"/>
      </w:tblGrid>
      <w:tr>
        <w:trPr>
          <w:tblHeader/>
        </w:trPr>
        <w:tc>
          <w:tcPr>
            <w:tcW w:type="dxa" w:w="2600"/>
            <w:shd w:val="clear" w:color="auto" w:fill="DCE6F1"/>
            <w:vAlign w:val="center"/>
          </w:tcPr>
          <w:p>
            <w:pPr>
              <w:spacing w:after="0" w:before="0" w:line="240" w:lineRule="auto"/>
            </w:pPr>
            <w:r>
              <w:rPr>
                <w:b/>
                <w:color w:val="000000"/>
                <w:sz w:val="16"/>
              </w:rPr>
              <w:t xml:space="preserve">Process</w:t>
            </w:r>
          </w:p>
        </w:tc>
        <w:tc>
          <w:tcPr>
            <w:tcW w:type="dxa" w:w="2800"/>
            <w:shd w:val="clear" w:color="auto" w:fill="DCE6F1"/>
            <w:vAlign w:val="center"/>
          </w:tcPr>
          <w:p>
            <w:pPr>
              <w:spacing w:after="0" w:before="0" w:line="240" w:lineRule="auto"/>
            </w:pPr>
            <w:r>
              <w:rPr>
                <w:b/>
                <w:color w:val="000000"/>
                <w:sz w:val="16"/>
              </w:rPr>
              <w:t xml:space="preserve">SOPs</w:t>
            </w:r>
          </w:p>
        </w:tc>
        <w:tc>
          <w:tcPr>
            <w:tcW w:type="dxa" w:w="4824"/>
            <w:shd w:val="clear" w:color="auto" w:fill="DCE6F1"/>
            <w:vAlign w:val="center"/>
          </w:tcPr>
          <w:p>
            <w:pPr>
              <w:spacing w:after="0" w:before="0" w:line="240" w:lineRule="auto"/>
            </w:pPr>
            <w:r>
              <w:rPr>
                <w:b/>
                <w:color w:val="000000"/>
                <w:sz w:val="16"/>
              </w:rPr>
              <w:t xml:space="preserve">Draws on Part A processes</w:t>
            </w:r>
          </w:p>
        </w:tc>
      </w:tr>
      <w:tr>
        <w:trPr>
          <w:cantSplit/>
        </w:trPr>
        <w:tc>
          <w:tcPr>
            <w:tcW w:type="dxa" w:w="2600"/>
            <w:vAlign w:val="center"/>
          </w:tcPr>
          <w:p>
            <w:pPr>
              <w:spacing w:after="0" w:before="0" w:line="240" w:lineRule="auto"/>
            </w:pPr>
            <w:r>
              <w:rPr>
                <w:b/>
                <w:color w:val="000000"/>
                <w:sz w:val="16"/>
              </w:rPr>
              <w:t xml:space="preserve">P1 Governance and control</w:t>
            </w:r>
          </w:p>
        </w:tc>
        <w:tc>
          <w:tcPr>
            <w:tcW w:type="dxa" w:w="2800"/>
            <w:vAlign w:val="center"/>
          </w:tcPr>
          <w:p>
            <w:pPr>
              <w:spacing w:after="0" w:before="0" w:line="240" w:lineRule="auto"/>
            </w:pPr>
            <w:r>
              <w:rPr>
                <w:color w:val="000000"/>
                <w:sz w:val="16"/>
              </w:rPr>
              <w:t xml:space="preserve">FIN-01, FIN-15, FIN-16</w:t>
            </w:r>
          </w:p>
        </w:tc>
        <w:tc>
          <w:tcPr>
            <w:tcW w:type="dxa" w:w="4824"/>
            <w:vAlign w:val="center"/>
          </w:tcPr>
          <w:p>
            <w:pPr>
              <w:spacing w:after="0" w:before="0" w:line="240" w:lineRule="auto"/>
            </w:pPr>
            <w:r>
              <w:rPr>
                <w:color w:val="000000"/>
                <w:sz w:val="16"/>
              </w:rPr>
              <w:t xml:space="preserve">8 Controls and risk; parts of 3 (systems)</w:t>
            </w:r>
          </w:p>
        </w:tc>
      </w:tr>
      <w:tr>
        <w:trPr>
          <w:cantSplit/>
        </w:trPr>
        <w:tc>
          <w:tcPr>
            <w:tcW w:type="dxa" w:w="2600"/>
            <w:vAlign w:val="center"/>
          </w:tcPr>
          <w:p>
            <w:pPr>
              <w:spacing w:after="0" w:before="0" w:line="240" w:lineRule="auto"/>
            </w:pPr>
            <w:r>
              <w:rPr>
                <w:b/>
                <w:color w:val="000000"/>
                <w:sz w:val="16"/>
              </w:rPr>
              <w:t xml:space="preserve">P2 Procure to pay</w:t>
            </w:r>
          </w:p>
        </w:tc>
        <w:tc>
          <w:tcPr>
            <w:tcW w:type="dxa" w:w="2800"/>
            <w:vAlign w:val="center"/>
          </w:tcPr>
          <w:p>
            <w:pPr>
              <w:spacing w:after="0" w:before="0" w:line="240" w:lineRule="auto"/>
            </w:pPr>
            <w:r>
              <w:rPr>
                <w:color w:val="000000"/>
                <w:sz w:val="16"/>
              </w:rPr>
              <w:t xml:space="preserve">FIN-02, FIN-03, FIN-08</w:t>
            </w:r>
          </w:p>
        </w:tc>
        <w:tc>
          <w:tcPr>
            <w:tcW w:type="dxa" w:w="4824"/>
            <w:vAlign w:val="center"/>
          </w:tcPr>
          <w:p>
            <w:pPr>
              <w:spacing w:after="0" w:before="0" w:line="240" w:lineRule="auto"/>
            </w:pPr>
            <w:r>
              <w:rPr>
                <w:color w:val="000000"/>
                <w:sz w:val="16"/>
              </w:rPr>
              <w:t xml:space="preserve">5 Purchasing and payments</w:t>
            </w:r>
          </w:p>
        </w:tc>
      </w:tr>
      <w:tr>
        <w:trPr>
          <w:cantSplit/>
        </w:trPr>
        <w:tc>
          <w:tcPr>
            <w:tcW w:type="dxa" w:w="2600"/>
            <w:vAlign w:val="center"/>
          </w:tcPr>
          <w:p>
            <w:pPr>
              <w:spacing w:after="0" w:before="0" w:line="240" w:lineRule="auto"/>
            </w:pPr>
            <w:r>
              <w:rPr>
                <w:b/>
                <w:color w:val="000000"/>
                <w:sz w:val="16"/>
              </w:rPr>
              <w:t xml:space="preserve">P3 Order to cash</w:t>
            </w:r>
          </w:p>
        </w:tc>
        <w:tc>
          <w:tcPr>
            <w:tcW w:type="dxa" w:w="2800"/>
            <w:vAlign w:val="center"/>
          </w:tcPr>
          <w:p>
            <w:pPr>
              <w:spacing w:after="0" w:before="0" w:line="240" w:lineRule="auto"/>
            </w:pPr>
            <w:r>
              <w:rPr>
                <w:color w:val="000000"/>
                <w:sz w:val="16"/>
              </w:rPr>
              <w:t xml:space="preserve">FIN-04, FIN-05</w:t>
            </w:r>
          </w:p>
        </w:tc>
        <w:tc>
          <w:tcPr>
            <w:tcW w:type="dxa" w:w="4824"/>
            <w:vAlign w:val="center"/>
          </w:tcPr>
          <w:p>
            <w:pPr>
              <w:spacing w:after="0" w:before="0" w:line="240" w:lineRule="auto"/>
            </w:pPr>
            <w:r>
              <w:rPr>
                <w:color w:val="000000"/>
                <w:sz w:val="16"/>
              </w:rPr>
              <w:t xml:space="preserve">4 Revenue and collections</w:t>
            </w:r>
          </w:p>
        </w:tc>
      </w:tr>
      <w:tr>
        <w:trPr>
          <w:cantSplit/>
        </w:trPr>
        <w:tc>
          <w:tcPr>
            <w:tcW w:type="dxa" w:w="2600"/>
            <w:vAlign w:val="center"/>
          </w:tcPr>
          <w:p>
            <w:pPr>
              <w:spacing w:after="0" w:before="0" w:line="240" w:lineRule="auto"/>
            </w:pPr>
            <w:r>
              <w:rPr>
                <w:b/>
                <w:color w:val="000000"/>
                <w:sz w:val="16"/>
              </w:rPr>
              <w:t xml:space="preserve">P4 Treasury and cash</w:t>
            </w:r>
          </w:p>
        </w:tc>
        <w:tc>
          <w:tcPr>
            <w:tcW w:type="dxa" w:w="2800"/>
            <w:vAlign w:val="center"/>
          </w:tcPr>
          <w:p>
            <w:pPr>
              <w:spacing w:after="0" w:before="0" w:line="240" w:lineRule="auto"/>
            </w:pPr>
            <w:r>
              <w:rPr>
                <w:color w:val="000000"/>
                <w:sz w:val="16"/>
              </w:rPr>
              <w:t xml:space="preserve">FIN-06</w:t>
            </w:r>
          </w:p>
        </w:tc>
        <w:tc>
          <w:tcPr>
            <w:tcW w:type="dxa" w:w="4824"/>
            <w:vAlign w:val="center"/>
          </w:tcPr>
          <w:p>
            <w:pPr>
              <w:spacing w:after="0" w:before="0" w:line="240" w:lineRule="auto"/>
            </w:pPr>
            <w:r>
              <w:rPr>
                <w:color w:val="000000"/>
                <w:sz w:val="16"/>
              </w:rPr>
              <w:t xml:space="preserve">6 Treasury and cash</w:t>
            </w:r>
          </w:p>
        </w:tc>
      </w:tr>
      <w:tr>
        <w:trPr>
          <w:cantSplit/>
        </w:trPr>
        <w:tc>
          <w:tcPr>
            <w:tcW w:type="dxa" w:w="2600"/>
            <w:vAlign w:val="center"/>
          </w:tcPr>
          <w:p>
            <w:pPr>
              <w:spacing w:after="0" w:before="0" w:line="240" w:lineRule="auto"/>
            </w:pPr>
            <w:r>
              <w:rPr>
                <w:b/>
                <w:color w:val="000000"/>
                <w:sz w:val="16"/>
              </w:rPr>
              <w:t xml:space="preserve">P5 Payroll</w:t>
            </w:r>
          </w:p>
        </w:tc>
        <w:tc>
          <w:tcPr>
            <w:tcW w:type="dxa" w:w="2800"/>
            <w:vAlign w:val="center"/>
          </w:tcPr>
          <w:p>
            <w:pPr>
              <w:spacing w:after="0" w:before="0" w:line="240" w:lineRule="auto"/>
            </w:pPr>
            <w:r>
              <w:rPr>
                <w:color w:val="000000"/>
                <w:sz w:val="16"/>
              </w:rPr>
              <w:t xml:space="preserve">FIN-07</w:t>
            </w:r>
          </w:p>
        </w:tc>
        <w:tc>
          <w:tcPr>
            <w:tcW w:type="dxa" w:w="4824"/>
            <w:vAlign w:val="center"/>
          </w:tcPr>
          <w:p>
            <w:pPr>
              <w:spacing w:after="0" w:before="0" w:line="240" w:lineRule="auto"/>
            </w:pPr>
            <w:r>
              <w:rPr>
                <w:color w:val="000000"/>
                <w:sz w:val="16"/>
              </w:rPr>
              <w:t xml:space="preserve">Parts of 3 Accounting and close and 7 Tax</w:t>
            </w:r>
          </w:p>
        </w:tc>
      </w:tr>
      <w:tr>
        <w:trPr>
          <w:cantSplit/>
        </w:trPr>
        <w:tc>
          <w:tcPr>
            <w:tcW w:type="dxa" w:w="2600"/>
            <w:vAlign w:val="center"/>
          </w:tcPr>
          <w:p>
            <w:pPr>
              <w:spacing w:after="0" w:before="0" w:line="240" w:lineRule="auto"/>
            </w:pPr>
            <w:r>
              <w:rPr>
                <w:b/>
                <w:color w:val="000000"/>
                <w:sz w:val="16"/>
              </w:rPr>
              <w:t xml:space="preserve">P6 Record to report</w:t>
            </w:r>
          </w:p>
        </w:tc>
        <w:tc>
          <w:tcPr>
            <w:tcW w:type="dxa" w:w="2800"/>
            <w:vAlign w:val="center"/>
          </w:tcPr>
          <w:p>
            <w:pPr>
              <w:spacing w:after="0" w:before="0" w:line="240" w:lineRule="auto"/>
            </w:pPr>
            <w:r>
              <w:rPr>
                <w:color w:val="000000"/>
                <w:sz w:val="16"/>
              </w:rPr>
              <w:t xml:space="preserve">FIN-09, FIN-10, FIN-12</w:t>
            </w:r>
          </w:p>
        </w:tc>
        <w:tc>
          <w:tcPr>
            <w:tcW w:type="dxa" w:w="4824"/>
            <w:vAlign w:val="center"/>
          </w:tcPr>
          <w:p>
            <w:pPr>
              <w:spacing w:after="0" w:before="0" w:line="240" w:lineRule="auto"/>
            </w:pPr>
            <w:r>
              <w:rPr>
                <w:color w:val="000000"/>
                <w:sz w:val="16"/>
              </w:rPr>
              <w:t xml:space="preserve">3 Accounting and close; 10 Board and investor reporting (management pack)</w:t>
            </w:r>
          </w:p>
        </w:tc>
      </w:tr>
      <w:tr>
        <w:trPr>
          <w:cantSplit/>
        </w:trPr>
        <w:tc>
          <w:tcPr>
            <w:tcW w:type="dxa" w:w="2600"/>
            <w:vAlign w:val="center"/>
          </w:tcPr>
          <w:p>
            <w:pPr>
              <w:spacing w:after="0" w:before="0" w:line="240" w:lineRule="auto"/>
            </w:pPr>
            <w:r>
              <w:rPr>
                <w:b/>
                <w:color w:val="000000"/>
                <w:sz w:val="16"/>
              </w:rPr>
              <w:t xml:space="preserve">P7 Plan and analyse</w:t>
            </w:r>
          </w:p>
        </w:tc>
        <w:tc>
          <w:tcPr>
            <w:tcW w:type="dxa" w:w="2800"/>
            <w:vAlign w:val="center"/>
          </w:tcPr>
          <w:p>
            <w:pPr>
              <w:spacing w:after="0" w:before="0" w:line="240" w:lineRule="auto"/>
            </w:pPr>
            <w:r>
              <w:rPr>
                <w:color w:val="000000"/>
                <w:sz w:val="16"/>
              </w:rPr>
              <w:t xml:space="preserve">FIN-11</w:t>
            </w:r>
          </w:p>
        </w:tc>
        <w:tc>
          <w:tcPr>
            <w:tcW w:type="dxa" w:w="4824"/>
            <w:vAlign w:val="center"/>
          </w:tcPr>
          <w:p>
            <w:pPr>
              <w:spacing w:after="0" w:before="0" w:line="240" w:lineRule="auto"/>
            </w:pPr>
            <w:r>
              <w:rPr>
                <w:color w:val="000000"/>
                <w:sz w:val="16"/>
              </w:rPr>
              <w:t xml:space="preserve">1 Strategy and planning; 2 Performance analysis; 9 Capital allocation</w:t>
            </w:r>
          </w:p>
        </w:tc>
      </w:tr>
      <w:tr>
        <w:trPr>
          <w:cantSplit/>
        </w:trPr>
        <w:tc>
          <w:tcPr>
            <w:tcW w:type="dxa" w:w="2600"/>
            <w:vAlign w:val="center"/>
          </w:tcPr>
          <w:p>
            <w:pPr>
              <w:spacing w:after="0" w:before="0" w:line="240" w:lineRule="auto"/>
            </w:pPr>
            <w:r>
              <w:rPr>
                <w:b/>
                <w:color w:val="000000"/>
                <w:sz w:val="16"/>
              </w:rPr>
              <w:t xml:space="preserve">P8 Tax</w:t>
            </w:r>
          </w:p>
        </w:tc>
        <w:tc>
          <w:tcPr>
            <w:tcW w:type="dxa" w:w="2800"/>
            <w:vAlign w:val="center"/>
          </w:tcPr>
          <w:p>
            <w:pPr>
              <w:spacing w:after="0" w:before="0" w:line="240" w:lineRule="auto"/>
            </w:pPr>
            <w:r>
              <w:rPr>
                <w:color w:val="000000"/>
                <w:sz w:val="16"/>
              </w:rPr>
              <w:t xml:space="preserve">FIN-13</w:t>
            </w:r>
          </w:p>
        </w:tc>
        <w:tc>
          <w:tcPr>
            <w:tcW w:type="dxa" w:w="4824"/>
            <w:vAlign w:val="center"/>
          </w:tcPr>
          <w:p>
            <w:pPr>
              <w:spacing w:after="0" w:before="0" w:line="240" w:lineRule="auto"/>
            </w:pPr>
            <w:r>
              <w:rPr>
                <w:color w:val="000000"/>
                <w:sz w:val="16"/>
              </w:rPr>
              <w:t xml:space="preserve">7 Tax</w:t>
            </w:r>
          </w:p>
        </w:tc>
      </w:tr>
      <w:tr>
        <w:trPr>
          <w:cantSplit/>
        </w:trPr>
        <w:tc>
          <w:tcPr>
            <w:tcW w:type="dxa" w:w="2600"/>
            <w:vAlign w:val="center"/>
          </w:tcPr>
          <w:p>
            <w:pPr>
              <w:spacing w:after="0" w:before="0" w:line="240" w:lineRule="auto"/>
            </w:pPr>
            <w:r>
              <w:rPr>
                <w:b/>
                <w:color w:val="000000"/>
                <w:sz w:val="16"/>
              </w:rPr>
              <w:t xml:space="preserve">P9 Year-end and audit</w:t>
            </w:r>
          </w:p>
        </w:tc>
        <w:tc>
          <w:tcPr>
            <w:tcW w:type="dxa" w:w="2800"/>
            <w:vAlign w:val="center"/>
          </w:tcPr>
          <w:p>
            <w:pPr>
              <w:spacing w:after="0" w:before="0" w:line="240" w:lineRule="auto"/>
            </w:pPr>
            <w:r>
              <w:rPr>
                <w:color w:val="000000"/>
                <w:sz w:val="16"/>
              </w:rPr>
              <w:t xml:space="preserve">FIN-14</w:t>
            </w:r>
          </w:p>
        </w:tc>
        <w:tc>
          <w:tcPr>
            <w:tcW w:type="dxa" w:w="4824"/>
            <w:vAlign w:val="center"/>
          </w:tcPr>
          <w:p>
            <w:pPr>
              <w:spacing w:after="0" w:before="0" w:line="240" w:lineRule="auto"/>
            </w:pPr>
            <w:r>
              <w:rPr>
                <w:color w:val="000000"/>
                <w:sz w:val="16"/>
              </w:rPr>
              <w:t xml:space="preserve">Year-end parts of 3 and 10 (statutory accounts, audit, board)</w:t>
            </w:r>
          </w:p>
        </w:tc>
      </w:tr>
    </w:tbl>
    <w:p>
      <w:pPr>
        <w:pStyle w:val="Title"/>
        <w:pageBreakBefore/>
      </w:pPr>
      <w:r>
        <w:t>CFO office process guide</w:t>
      </w:r>
    </w:p>
    <w:p>
      <w:pPr>
        <w:pStyle w:val="Heading1"/>
      </w:pPr>
      <w:r>
        <w:t xml:space="preserve">Playbook template</w:t>
      </w:r>
    </w:p>
    <w:p>
      <w:pPr>
        <w:spacing w:after="120"/>
      </w:pPr>
      <w:r>
        <w:t xml:space="preserve">Each SOP owner fills this in from the SOP and the team’s current practice before the agents use that playbook. Bracketed items are examples to replace. Approvers and limits are never written here: they come from the SOP.</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900"/>
        <w:gridCol w:w="4224"/>
        <w:gridCol w:w="4100"/>
      </w:tblGrid>
      <w:tr>
        <w:trPr>
          <w:tblHeader/>
        </w:trPr>
        <w:tc>
          <w:tcPr>
            <w:tcW w:type="dxa" w:w="1900"/>
            <w:shd w:val="clear" w:color="auto" w:fill="DCE6F1"/>
            <w:vAlign w:val="center"/>
          </w:tcPr>
          <w:p>
            <w:pPr>
              <w:spacing w:after="0" w:before="0" w:line="240" w:lineRule="auto"/>
            </w:pPr>
            <w:r>
              <w:rPr>
                <w:b/>
                <w:color w:val="000000"/>
                <w:sz w:val="18"/>
              </w:rPr>
              <w:t xml:space="preserve">Section</w:t>
            </w:r>
          </w:p>
        </w:tc>
        <w:tc>
          <w:tcPr>
            <w:tcW w:type="dxa" w:w="4224"/>
            <w:shd w:val="clear" w:color="auto" w:fill="DCE6F1"/>
            <w:vAlign w:val="center"/>
          </w:tcPr>
          <w:p>
            <w:pPr>
              <w:spacing w:after="0" w:before="0" w:line="240" w:lineRule="auto"/>
            </w:pPr>
            <w:r>
              <w:rPr>
                <w:b/>
                <w:color w:val="000000"/>
                <w:sz w:val="18"/>
              </w:rPr>
              <w:t xml:space="preserve">What to write</w:t>
            </w:r>
          </w:p>
        </w:tc>
        <w:tc>
          <w:tcPr>
            <w:tcW w:type="dxa" w:w="4100"/>
            <w:shd w:val="clear" w:color="auto" w:fill="DCE6F1"/>
            <w:vAlign w:val="center"/>
          </w:tcPr>
          <w:p>
            <w:pPr>
              <w:spacing w:after="0" w:before="0" w:line="240" w:lineRule="auto"/>
            </w:pPr>
            <w:r>
              <w:rPr>
                <w:b/>
                <w:color w:val="000000"/>
                <w:sz w:val="18"/>
              </w:rPr>
              <w:t xml:space="preserve">Example: PB-03 for FIN-03 Accounts payable</w:t>
            </w:r>
          </w:p>
        </w:tc>
      </w:tr>
      <w:tr>
        <w:trPr>
          <w:cantSplit/>
        </w:trPr>
        <w:tc>
          <w:tcPr>
            <w:tcW w:type="dxa" w:w="1900"/>
            <w:vAlign w:val="center"/>
          </w:tcPr>
          <w:p>
            <w:pPr>
              <w:spacing w:after="0" w:before="0" w:line="240" w:lineRule="auto"/>
            </w:pPr>
            <w:r>
              <w:rPr>
                <w:b/>
                <w:color w:val="000000"/>
                <w:sz w:val="18"/>
              </w:rPr>
              <w:t xml:space="preserve">Purpose and scope</w:t>
            </w:r>
          </w:p>
        </w:tc>
        <w:tc>
          <w:tcPr>
            <w:tcW w:type="dxa" w:w="4224"/>
            <w:vAlign w:val="center"/>
          </w:tcPr>
          <w:p>
            <w:pPr>
              <w:spacing w:after="0" w:before="0" w:line="240" w:lineRule="auto"/>
            </w:pPr>
            <w:r>
              <w:rPr>
                <w:color w:val="000000"/>
                <w:sz w:val="18"/>
              </w:rPr>
              <w:t xml:space="preserve">The process, the tasks it covers and what is out of scope.</w:t>
            </w:r>
          </w:p>
        </w:tc>
        <w:tc>
          <w:tcPr>
            <w:tcW w:type="dxa" w:w="4100"/>
            <w:vAlign w:val="center"/>
          </w:tcPr>
          <w:p>
            <w:pPr>
              <w:spacing w:after="0" w:before="0" w:line="240" w:lineRule="auto"/>
            </w:pPr>
            <w:r>
              <w:rPr>
                <w:color w:val="000000"/>
                <w:sz w:val="18"/>
              </w:rPr>
              <w:t xml:space="preserve">Agent preparation inside FIN-03: invoice exceptions, coding and VAT checks, duplicates, credit notes and payment run checks. Excludes approval and release, which FIN-03 assigns to people.</w:t>
            </w:r>
          </w:p>
        </w:tc>
      </w:tr>
      <w:tr>
        <w:trPr>
          <w:cantSplit/>
        </w:trPr>
        <w:tc>
          <w:tcPr>
            <w:tcW w:type="dxa" w:w="1900"/>
            <w:vAlign w:val="center"/>
          </w:tcPr>
          <w:p>
            <w:pPr>
              <w:spacing w:after="0" w:before="0" w:line="240" w:lineRule="auto"/>
            </w:pPr>
            <w:r>
              <w:rPr>
                <w:b/>
                <w:color w:val="000000"/>
                <w:sz w:val="18"/>
              </w:rPr>
              <w:t xml:space="preserve">Owner and version</w:t>
            </w:r>
          </w:p>
        </w:tc>
        <w:tc>
          <w:tcPr>
            <w:tcW w:type="dxa" w:w="4224"/>
            <w:vAlign w:val="center"/>
          </w:tcPr>
          <w:p>
            <w:pPr>
              <w:spacing w:after="0" w:before="0" w:line="240" w:lineRule="auto"/>
            </w:pPr>
            <w:r>
              <w:rPr>
                <w:color w:val="000000"/>
                <w:sz w:val="18"/>
              </w:rPr>
              <w:t xml:space="preserve">Process owner, approver, version number and review date.</w:t>
            </w:r>
          </w:p>
        </w:tc>
        <w:tc>
          <w:tcPr>
            <w:tcW w:type="dxa" w:w="4100"/>
            <w:vAlign w:val="center"/>
          </w:tcPr>
          <w:p>
            <w:pPr>
              <w:spacing w:after="0" w:before="0" w:line="240" w:lineRule="auto"/>
            </w:pPr>
            <w:r>
              <w:rPr>
                <w:color w:val="000000"/>
                <w:sz w:val="18"/>
              </w:rPr>
              <w:t xml:space="preserve">Owner: AP team lead (owner of FIN-03). Version </w:t>
            </w:r>
            <w:r>
              <w:rPr>
                <w:color w:val="000000"/>
                <w:sz w:val="18"/>
                <w:highlight w:val="yellow"/>
              </w:rPr>
              <w:t xml:space="preserve">[1.0]</w:t>
            </w:r>
            <w:r>
              <w:rPr>
                <w:color w:val="000000"/>
                <w:sz w:val="18"/>
              </w:rPr>
              <w:t xml:space="preserve">, reviewed with FIN-03 on </w:t>
            </w:r>
            <w:r>
              <w:rPr>
                <w:color w:val="000000"/>
                <w:sz w:val="18"/>
                <w:highlight w:val="yellow"/>
              </w:rPr>
              <w:t xml:space="preserve">[date]</w:t>
            </w:r>
            <w:r>
              <w:rPr>
                <w:color w:val="000000"/>
                <w:sz w:val="18"/>
              </w:rPr>
              <w:t xml:space="preserve">.</w:t>
            </w:r>
          </w:p>
        </w:tc>
      </w:tr>
      <w:tr>
        <w:trPr>
          <w:cantSplit/>
        </w:trPr>
        <w:tc>
          <w:tcPr>
            <w:tcW w:type="dxa" w:w="1900"/>
            <w:vAlign w:val="center"/>
          </w:tcPr>
          <w:p>
            <w:pPr>
              <w:spacing w:after="0" w:before="0" w:line="240" w:lineRule="auto"/>
            </w:pPr>
            <w:r>
              <w:rPr>
                <w:b/>
                <w:color w:val="000000"/>
                <w:sz w:val="18"/>
              </w:rPr>
              <w:t xml:space="preserve">Data sources</w:t>
            </w:r>
          </w:p>
        </w:tc>
        <w:tc>
          <w:tcPr>
            <w:tcW w:type="dxa" w:w="4224"/>
            <w:vAlign w:val="center"/>
          </w:tcPr>
          <w:p>
            <w:pPr>
              <w:spacing w:after="0" w:before="0" w:line="240" w:lineRule="auto"/>
            </w:pPr>
            <w:r>
              <w:rPr>
                <w:color w:val="000000"/>
                <w:sz w:val="18"/>
              </w:rPr>
              <w:t xml:space="preserve">Systems and files the agent may read, and which are untrusted.</w:t>
            </w:r>
          </w:p>
        </w:tc>
        <w:tc>
          <w:tcPr>
            <w:tcW w:type="dxa" w:w="4100"/>
            <w:vAlign w:val="center"/>
          </w:tcPr>
          <w:p>
            <w:pPr>
              <w:spacing w:after="0" w:before="0" w:line="240" w:lineRule="auto"/>
            </w:pPr>
            <w:r>
              <w:rPr>
                <w:color w:val="000000"/>
                <w:sz w:val="18"/>
              </w:rPr>
              <w:t xml:space="preserve">Cloud ERP, procurement and AP systems, shared AP mailbox (untrusted).</w:t>
            </w:r>
          </w:p>
        </w:tc>
      </w:tr>
      <w:tr>
        <w:trPr>
          <w:cantSplit/>
        </w:trPr>
        <w:tc>
          <w:tcPr>
            <w:tcW w:type="dxa" w:w="1900"/>
            <w:vAlign w:val="center"/>
          </w:tcPr>
          <w:p>
            <w:pPr>
              <w:spacing w:after="0" w:before="0" w:line="240" w:lineRule="auto"/>
            </w:pPr>
            <w:r>
              <w:rPr>
                <w:b/>
                <w:color w:val="000000"/>
                <w:sz w:val="18"/>
              </w:rPr>
              <w:t xml:space="preserve">Method</w:t>
            </w:r>
          </w:p>
        </w:tc>
        <w:tc>
          <w:tcPr>
            <w:tcW w:type="dxa" w:w="4224"/>
            <w:vAlign w:val="center"/>
          </w:tcPr>
          <w:p>
            <w:pPr>
              <w:spacing w:after="0" w:before="0" w:line="240" w:lineRule="auto"/>
            </w:pPr>
            <w:r>
              <w:rPr>
                <w:color w:val="000000"/>
                <w:sz w:val="18"/>
              </w:rPr>
              <w:t xml:space="preserve">The steps the team follows today, written so an agent can follow them.</w:t>
            </w:r>
          </w:p>
        </w:tc>
        <w:tc>
          <w:tcPr>
            <w:tcW w:type="dxa" w:w="4100"/>
            <w:vAlign w:val="center"/>
          </w:tcPr>
          <w:p>
            <w:pPr>
              <w:spacing w:after="0" w:before="0" w:line="240" w:lineRule="auto"/>
            </w:pPr>
            <w:r>
              <w:rPr>
                <w:color w:val="000000"/>
                <w:sz w:val="18"/>
              </w:rPr>
              <w:t xml:space="preserve">Match order, receipt and invoice; check history; ask the budget holder one question.</w:t>
            </w:r>
          </w:p>
        </w:tc>
      </w:tr>
      <w:tr>
        <w:trPr>
          <w:cantSplit/>
        </w:trPr>
        <w:tc>
          <w:tcPr>
            <w:tcW w:type="dxa" w:w="1900"/>
            <w:vAlign w:val="center"/>
          </w:tcPr>
          <w:p>
            <w:pPr>
              <w:spacing w:after="0" w:before="0" w:line="240" w:lineRule="auto"/>
            </w:pPr>
            <w:r>
              <w:rPr>
                <w:b/>
                <w:color w:val="000000"/>
                <w:sz w:val="18"/>
              </w:rPr>
              <w:t xml:space="preserve">Rules and thresholds</w:t>
            </w:r>
          </w:p>
        </w:tc>
        <w:tc>
          <w:tcPr>
            <w:tcW w:type="dxa" w:w="4224"/>
            <w:vAlign w:val="center"/>
          </w:tcPr>
          <w:p>
            <w:pPr>
              <w:spacing w:after="0" w:before="0" w:line="240" w:lineRule="auto"/>
            </w:pPr>
            <w:r>
              <w:rPr>
                <w:color w:val="000000"/>
                <w:sz w:val="18"/>
              </w:rPr>
              <w:t xml:space="preserve">Tolerances, limits, delegated authority and policy references.</w:t>
            </w:r>
          </w:p>
        </w:tc>
        <w:tc>
          <w:tcPr>
            <w:tcW w:type="dxa" w:w="4100"/>
            <w:vAlign w:val="center"/>
          </w:tcPr>
          <w:p>
            <w:pPr>
              <w:spacing w:after="0" w:before="0" w:line="240" w:lineRule="auto"/>
            </w:pPr>
            <w:r>
              <w:rPr>
                <w:color w:val="000000"/>
                <w:sz w:val="18"/>
              </w:rPr>
              <w:t xml:space="preserve">Match tolerance </w:t>
            </w:r>
            <w:r>
              <w:rPr>
                <w:color w:val="000000"/>
                <w:sz w:val="18"/>
                <w:highlight w:val="yellow"/>
              </w:rPr>
              <w:t xml:space="preserve">[x]</w:t>
            </w:r>
            <w:r>
              <w:rPr>
                <w:color w:val="000000"/>
                <w:sz w:val="18"/>
              </w:rPr>
              <w:t xml:space="preserve">; review threshold </w:t>
            </w:r>
            <w:r>
              <w:rPr>
                <w:color w:val="000000"/>
                <w:sz w:val="18"/>
                <w:highlight w:val="yellow"/>
              </w:rPr>
              <w:t xml:space="preserve">[£x]</w:t>
            </w:r>
            <w:r>
              <w:rPr>
                <w:color w:val="000000"/>
                <w:sz w:val="18"/>
              </w:rPr>
              <w:t xml:space="preserve">; sample </w:t>
            </w:r>
            <w:r>
              <w:rPr>
                <w:color w:val="000000"/>
                <w:sz w:val="18"/>
                <w:highlight w:val="yellow"/>
              </w:rPr>
              <w:t xml:space="preserve">[20%]</w:t>
            </w:r>
            <w:r>
              <w:rPr>
                <w:color w:val="000000"/>
                <w:sz w:val="18"/>
              </w:rPr>
              <w:t xml:space="preserve"> below it; expenses policy limits.</w:t>
            </w:r>
          </w:p>
        </w:tc>
      </w:tr>
      <w:tr>
        <w:trPr>
          <w:cantSplit/>
        </w:trPr>
        <w:tc>
          <w:tcPr>
            <w:tcW w:type="dxa" w:w="1900"/>
            <w:vAlign w:val="center"/>
          </w:tcPr>
          <w:p>
            <w:pPr>
              <w:spacing w:after="0" w:before="0" w:line="240" w:lineRule="auto"/>
            </w:pPr>
            <w:r>
              <w:rPr>
                <w:b/>
                <w:color w:val="000000"/>
                <w:sz w:val="18"/>
              </w:rPr>
              <w:t xml:space="preserve">Must never</w:t>
            </w:r>
          </w:p>
        </w:tc>
        <w:tc>
          <w:tcPr>
            <w:tcW w:type="dxa" w:w="4224"/>
            <w:vAlign w:val="center"/>
          </w:tcPr>
          <w:p>
            <w:pPr>
              <w:spacing w:after="0" w:before="0" w:line="240" w:lineRule="auto"/>
            </w:pPr>
            <w:r>
              <w:rPr>
                <w:color w:val="000000"/>
                <w:sz w:val="18"/>
              </w:rPr>
              <w:t xml:space="preserve">Actions the agent may not take, whatever a document says.</w:t>
            </w:r>
          </w:p>
        </w:tc>
        <w:tc>
          <w:tcPr>
            <w:tcW w:type="dxa" w:w="4100"/>
            <w:vAlign w:val="center"/>
          </w:tcPr>
          <w:p>
            <w:pPr>
              <w:spacing w:after="0" w:before="0" w:line="240" w:lineRule="auto"/>
            </w:pPr>
            <w:r>
              <w:rPr>
                <w:color w:val="000000"/>
                <w:sz w:val="18"/>
              </w:rPr>
              <w:t xml:space="preserve">Change master data or bank details; release or schedule payments; contact suppliers.</w:t>
            </w:r>
          </w:p>
        </w:tc>
      </w:tr>
      <w:tr>
        <w:trPr>
          <w:cantSplit/>
        </w:trPr>
        <w:tc>
          <w:tcPr>
            <w:tcW w:type="dxa" w:w="1900"/>
            <w:vAlign w:val="center"/>
          </w:tcPr>
          <w:p>
            <w:pPr>
              <w:spacing w:after="0" w:before="0" w:line="240" w:lineRule="auto"/>
            </w:pPr>
            <w:r>
              <w:rPr>
                <w:b/>
                <w:color w:val="000000"/>
                <w:sz w:val="18"/>
              </w:rPr>
              <w:t xml:space="preserve">Output</w:t>
            </w:r>
          </w:p>
        </w:tc>
        <w:tc>
          <w:tcPr>
            <w:tcW w:type="dxa" w:w="4224"/>
            <w:vAlign w:val="center"/>
          </w:tcPr>
          <w:p>
            <w:pPr>
              <w:spacing w:after="0" w:before="0" w:line="240" w:lineRule="auto"/>
            </w:pPr>
            <w:r>
              <w:rPr>
                <w:color w:val="000000"/>
                <w:sz w:val="18"/>
              </w:rPr>
              <w:t xml:space="preserve">What a finished proposal looks like and where it is saved.</w:t>
            </w:r>
          </w:p>
        </w:tc>
        <w:tc>
          <w:tcPr>
            <w:tcW w:type="dxa" w:w="4100"/>
            <w:vAlign w:val="center"/>
          </w:tcPr>
          <w:p>
            <w:pPr>
              <w:spacing w:after="0" w:before="0" w:line="240" w:lineRule="auto"/>
            </w:pPr>
            <w:r>
              <w:rPr>
                <w:color w:val="000000"/>
                <w:sz w:val="18"/>
              </w:rPr>
              <w:t xml:space="preserve">Proposal with record references and evidence, saved to the SharePoint task.</w:t>
            </w:r>
          </w:p>
        </w:tc>
      </w:tr>
      <w:tr>
        <w:trPr>
          <w:cantSplit/>
        </w:trPr>
        <w:tc>
          <w:tcPr>
            <w:tcW w:type="dxa" w:w="1900"/>
            <w:vAlign w:val="center"/>
          </w:tcPr>
          <w:p>
            <w:pPr>
              <w:spacing w:after="0" w:before="0" w:line="240" w:lineRule="auto"/>
            </w:pPr>
            <w:r>
              <w:rPr>
                <w:b/>
                <w:color w:val="000000"/>
                <w:sz w:val="18"/>
              </w:rPr>
              <w:t xml:space="preserve">Review and escalation</w:t>
            </w:r>
          </w:p>
        </w:tc>
        <w:tc>
          <w:tcPr>
            <w:tcW w:type="dxa" w:w="4224"/>
            <w:vAlign w:val="center"/>
          </w:tcPr>
          <w:p>
            <w:pPr>
              <w:spacing w:after="0" w:before="0" w:line="240" w:lineRule="auto"/>
            </w:pPr>
            <w:r>
              <w:rPr>
                <w:color w:val="000000"/>
                <w:sz w:val="18"/>
              </w:rPr>
              <w:t xml:space="preserve">Who reviews which items, and who to escalate to.</w:t>
            </w:r>
          </w:p>
        </w:tc>
        <w:tc>
          <w:tcPr>
            <w:tcW w:type="dxa" w:w="4100"/>
            <w:vAlign w:val="center"/>
          </w:tcPr>
          <w:p>
            <w:pPr>
              <w:spacing w:after="0" w:before="0" w:line="240" w:lineRule="auto"/>
            </w:pPr>
            <w:r>
              <w:rPr>
                <w:color w:val="000000"/>
                <w:sz w:val="18"/>
              </w:rPr>
              <w:t xml:space="preserve">AP reviews above the threshold; escalate to the Financial Controller.</w:t>
            </w:r>
          </w:p>
        </w:tc>
      </w:tr>
      <w:tr>
        <w:trPr>
          <w:cantSplit/>
        </w:trPr>
        <w:tc>
          <w:tcPr>
            <w:tcW w:type="dxa" w:w="1900"/>
            <w:vAlign w:val="center"/>
          </w:tcPr>
          <w:p>
            <w:pPr>
              <w:spacing w:after="0" w:before="0" w:line="240" w:lineRule="auto"/>
            </w:pPr>
            <w:r>
              <w:rPr>
                <w:b/>
                <w:color w:val="000000"/>
                <w:sz w:val="18"/>
              </w:rPr>
              <w:t xml:space="preserve">Examples</w:t>
            </w:r>
          </w:p>
        </w:tc>
        <w:tc>
          <w:tcPr>
            <w:tcW w:type="dxa" w:w="4224"/>
            <w:vAlign w:val="center"/>
          </w:tcPr>
          <w:p>
            <w:pPr>
              <w:spacing w:after="0" w:before="0" w:line="240" w:lineRule="auto"/>
            </w:pPr>
            <w:r>
              <w:rPr>
                <w:color w:val="000000"/>
                <w:sz w:val="18"/>
              </w:rPr>
              <w:t xml:space="preserve">Three to five good past cases with the right answer.</w:t>
            </w:r>
          </w:p>
        </w:tc>
        <w:tc>
          <w:tcPr>
            <w:tcW w:type="dxa" w:w="4100"/>
            <w:vAlign w:val="center"/>
          </w:tcPr>
          <w:p>
            <w:pPr>
              <w:spacing w:after="0" w:before="0" w:line="240" w:lineRule="auto"/>
            </w:pPr>
            <w:r>
              <w:rPr>
                <w:color w:val="000000"/>
                <w:sz w:val="18"/>
              </w:rPr>
              <w:t xml:space="preserve">Last quarter’s missing-receipt cases and how they were cleared.</w:t>
            </w:r>
          </w:p>
        </w:tc>
      </w:tr>
      <w:tr>
        <w:trPr>
          <w:cantSplit/>
        </w:trPr>
        <w:tc>
          <w:tcPr>
            <w:tcW w:type="dxa" w:w="1900"/>
            <w:vAlign w:val="center"/>
          </w:tcPr>
          <w:p>
            <w:pPr>
              <w:spacing w:after="0" w:before="0" w:line="240" w:lineRule="auto"/>
            </w:pPr>
            <w:r>
              <w:rPr>
                <w:b/>
                <w:color w:val="000000"/>
                <w:sz w:val="18"/>
              </w:rPr>
              <w:t xml:space="preserve">Measures</w:t>
            </w:r>
          </w:p>
        </w:tc>
        <w:tc>
          <w:tcPr>
            <w:tcW w:type="dxa" w:w="4224"/>
            <w:vAlign w:val="center"/>
          </w:tcPr>
          <w:p>
            <w:pPr>
              <w:spacing w:after="0" w:before="0" w:line="240" w:lineRule="auto"/>
            </w:pPr>
            <w:r>
              <w:rPr>
                <w:color w:val="000000"/>
                <w:sz w:val="18"/>
              </w:rPr>
              <w:t xml:space="preserve">Acceptance target and what is tracked.</w:t>
            </w:r>
          </w:p>
        </w:tc>
        <w:tc>
          <w:tcPr>
            <w:tcW w:type="dxa" w:w="4100"/>
            <w:vAlign w:val="center"/>
          </w:tcPr>
          <w:p>
            <w:pPr>
              <w:spacing w:after="0" w:before="0" w:line="240" w:lineRule="auto"/>
            </w:pPr>
            <w:r>
              <w:rPr>
                <w:color w:val="000000"/>
                <w:sz w:val="18"/>
              </w:rPr>
              <w:t xml:space="preserve">At least </w:t>
            </w:r>
            <w:r>
              <w:rPr>
                <w:color w:val="000000"/>
                <w:sz w:val="18"/>
                <w:highlight w:val="yellow"/>
              </w:rPr>
              <w:t xml:space="preserve">[75%]</w:t>
            </w:r>
            <w:r>
              <w:rPr>
                <w:color w:val="000000"/>
                <w:sz w:val="18"/>
              </w:rPr>
              <w:t xml:space="preserve"> accepted without change; rejection reasons logged weekly.</w:t>
            </w:r>
          </w:p>
        </w:tc>
      </w:tr>
    </w:tbl>
    <w:p>
      <w:pPr>
        <w:pStyle w:val="Title"/>
        <w:pageBreakBefore/>
      </w:pPr>
      <w:r>
        <w:t>CFO office process guide</w:t>
      </w:r>
    </w:p>
    <w:p>
      <w:pPr>
        <w:pStyle w:val="Heading1"/>
      </w:pPr>
      <w:r>
        <w:t xml:space="preserve">Use cases by process and phase</w:t>
      </w:r>
    </w:p>
    <w:p>
      <w:pPr>
        <w:spacing w:after="120"/>
      </w:pPr>
      <w:r>
        <w:t xml:space="preserve">Use cases are ranked by volume, how much evidence-gathering they involve and how reversible a mistake would be. Phase 1 items are high-volume, evidence-heavy and fully reviewed before anything is executed.</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650"/>
        <w:gridCol w:w="3350"/>
        <w:gridCol w:w="2350"/>
        <w:gridCol w:w="2100"/>
        <w:gridCol w:w="774"/>
      </w:tblGrid>
      <w:tr>
        <w:trPr>
          <w:tblHeader/>
        </w:trPr>
        <w:tc>
          <w:tcPr>
            <w:tcW w:type="dxa" w:w="1650"/>
            <w:shd w:val="clear" w:color="auto" w:fill="DCE6F1"/>
            <w:vAlign w:val="center"/>
          </w:tcPr>
          <w:p>
            <w:pPr>
              <w:spacing w:after="0" w:before="0" w:line="240" w:lineRule="auto"/>
            </w:pPr>
            <w:r>
              <w:rPr>
                <w:b/>
                <w:color w:val="000000"/>
                <w:sz w:val="19"/>
              </w:rPr>
              <w:t xml:space="preserve">Process</w:t>
            </w:r>
          </w:p>
        </w:tc>
        <w:tc>
          <w:tcPr>
            <w:tcW w:type="dxa" w:w="3350"/>
            <w:shd w:val="clear" w:color="auto" w:fill="DCE6F1"/>
            <w:vAlign w:val="center"/>
          </w:tcPr>
          <w:p>
            <w:pPr>
              <w:spacing w:after="0" w:before="0" w:line="240" w:lineRule="auto"/>
            </w:pPr>
            <w:r>
              <w:rPr>
                <w:b/>
                <w:color w:val="000000"/>
                <w:sz w:val="19"/>
              </w:rPr>
              <w:t xml:space="preserve">Agent use</w:t>
            </w:r>
          </w:p>
        </w:tc>
        <w:tc>
          <w:tcPr>
            <w:tcW w:type="dxa" w:w="2350"/>
            <w:shd w:val="clear" w:color="auto" w:fill="DCE6F1"/>
            <w:vAlign w:val="center"/>
          </w:tcPr>
          <w:p>
            <w:pPr>
              <w:spacing w:after="0" w:before="0" w:line="240" w:lineRule="auto"/>
            </w:pPr>
            <w:r>
              <w:rPr>
                <w:b/>
                <w:color w:val="000000"/>
                <w:sz w:val="19"/>
              </w:rPr>
              <w:t xml:space="preserve">Stays deterministic</w:t>
            </w:r>
          </w:p>
        </w:tc>
        <w:tc>
          <w:tcPr>
            <w:tcW w:type="dxa" w:w="2100"/>
            <w:shd w:val="clear" w:color="auto" w:fill="DCE6F1"/>
            <w:vAlign w:val="center"/>
          </w:tcPr>
          <w:p>
            <w:pPr>
              <w:spacing w:after="0" w:before="0" w:line="240" w:lineRule="auto"/>
            </w:pPr>
            <w:r>
              <w:rPr>
                <w:b/>
                <w:color w:val="000000"/>
                <w:sz w:val="19"/>
              </w:rPr>
              <w:t xml:space="preserve">Human gate</w:t>
            </w:r>
          </w:p>
        </w:tc>
        <w:tc>
          <w:tcPr>
            <w:tcW w:type="dxa" w:w="774"/>
            <w:shd w:val="clear" w:color="auto" w:fill="DCE6F1"/>
            <w:vAlign w:val="center"/>
          </w:tcPr>
          <w:p>
            <w:pPr>
              <w:spacing w:after="0" w:before="0" w:line="240" w:lineRule="auto"/>
            </w:pPr>
            <w:r>
              <w:rPr>
                <w:b/>
                <w:color w:val="000000"/>
                <w:sz w:val="19"/>
              </w:rPr>
              <w:t xml:space="preserve">Phase</w:t>
            </w:r>
          </w:p>
        </w:tc>
      </w:tr>
      <w:tr>
        <w:trPr>
          <w:cantSplit/>
        </w:trPr>
        <w:tc>
          <w:tcPr>
            <w:tcW w:type="dxa" w:w="1650"/>
            <w:vAlign w:val="center"/>
          </w:tcPr>
          <w:p>
            <w:pPr>
              <w:spacing w:after="0" w:before="0" w:line="240" w:lineRule="auto"/>
            </w:pPr>
            <w:r>
              <w:rPr>
                <w:b/>
                <w:color w:val="000000"/>
                <w:sz w:val="19"/>
              </w:rPr>
              <w:t xml:space="preserve">1 Planning</w:t>
            </w:r>
          </w:p>
        </w:tc>
        <w:tc>
          <w:tcPr>
            <w:tcW w:type="dxa" w:w="3350"/>
            <w:vAlign w:val="center"/>
          </w:tcPr>
          <w:p>
            <w:pPr>
              <w:spacing w:after="0" w:before="0" w:line="240" w:lineRule="auto"/>
            </w:pPr>
            <w:r>
              <w:rPr>
                <w:color w:val="000000"/>
                <w:sz w:val="19"/>
              </w:rPr>
              <w:t xml:space="preserve">Check submissions for conflicting assumptions (X1); draft scenario narrative (X3)</w:t>
            </w:r>
          </w:p>
        </w:tc>
        <w:tc>
          <w:tcPr>
            <w:tcW w:type="dxa" w:w="2350"/>
            <w:vAlign w:val="center"/>
          </w:tcPr>
          <w:p>
            <w:pPr>
              <w:spacing w:after="0" w:before="0" w:line="240" w:lineRule="auto"/>
            </w:pPr>
            <w:r>
              <w:rPr>
                <w:color w:val="000000"/>
                <w:sz w:val="19"/>
              </w:rPr>
              <w:t xml:space="preserve">Plan consolidation and model calculations in T3</w:t>
            </w:r>
          </w:p>
        </w:tc>
        <w:tc>
          <w:tcPr>
            <w:tcW w:type="dxa" w:w="2100"/>
            <w:vAlign w:val="center"/>
          </w:tcPr>
          <w:p>
            <w:pPr>
              <w:spacing w:after="0" w:before="0" w:line="240" w:lineRule="auto"/>
            </w:pPr>
            <w:r>
              <w:rPr>
                <w:color w:val="000000"/>
                <w:sz w:val="19"/>
              </w:rPr>
              <w:t xml:space="preserve">FP&amp;A; CFO, CEO and board</w:t>
            </w:r>
          </w:p>
        </w:tc>
        <w:tc>
          <w:tcPr>
            <w:tcW w:type="dxa" w:w="774"/>
            <w:vAlign w:val="center"/>
          </w:tcPr>
          <w:p>
            <w:pPr>
              <w:spacing w:after="0" w:before="0" w:line="240" w:lineRule="auto"/>
            </w:pPr>
            <w:r>
              <w:rPr>
                <w:color w:val="000000"/>
                <w:sz w:val="19"/>
              </w:rPr>
              <w:t xml:space="preserve">2</w:t>
            </w:r>
          </w:p>
        </w:tc>
      </w:tr>
      <w:tr>
        <w:trPr>
          <w:cantSplit/>
        </w:trPr>
        <w:tc>
          <w:tcPr>
            <w:tcW w:type="dxa" w:w="1650"/>
            <w:vAlign w:val="center"/>
          </w:tcPr>
          <w:p>
            <w:pPr>
              <w:spacing w:after="0" w:before="0" w:line="240" w:lineRule="auto"/>
            </w:pPr>
            <w:r>
              <w:rPr>
                <w:b/>
                <w:color w:val="000000"/>
                <w:sz w:val="19"/>
              </w:rPr>
              <w:t xml:space="preserve">2 Performance</w:t>
            </w:r>
          </w:p>
        </w:tc>
        <w:tc>
          <w:tcPr>
            <w:tcW w:type="dxa" w:w="3350"/>
            <w:vAlign w:val="center"/>
          </w:tcPr>
          <w:p>
            <w:pPr>
              <w:spacing w:after="0" w:before="0" w:line="240" w:lineRule="auto"/>
            </w:pPr>
            <w:r>
              <w:rPr>
                <w:color w:val="000000"/>
                <w:sz w:val="19"/>
              </w:rPr>
              <w:t xml:space="preserve">Draft variance commentary from evidence (X3); trace large variances to transactions (X1)</w:t>
            </w:r>
          </w:p>
        </w:tc>
        <w:tc>
          <w:tcPr>
            <w:tcW w:type="dxa" w:w="2350"/>
            <w:vAlign w:val="center"/>
          </w:tcPr>
          <w:p>
            <w:pPr>
              <w:spacing w:after="0" w:before="0" w:line="240" w:lineRule="auto"/>
            </w:pPr>
            <w:r>
              <w:rPr>
                <w:color w:val="000000"/>
                <w:sz w:val="19"/>
              </w:rPr>
              <w:t xml:space="preserve">KPI calculations and thresholds in T11</w:t>
            </w:r>
          </w:p>
        </w:tc>
        <w:tc>
          <w:tcPr>
            <w:tcW w:type="dxa" w:w="2100"/>
            <w:vAlign w:val="center"/>
          </w:tcPr>
          <w:p>
            <w:pPr>
              <w:spacing w:after="0" w:before="0" w:line="240" w:lineRule="auto"/>
            </w:pPr>
            <w:r>
              <w:rPr>
                <w:color w:val="000000"/>
                <w:sz w:val="19"/>
              </w:rPr>
              <w:t xml:space="preserve">FP&amp;A validates; budget holders own actions</w:t>
            </w:r>
          </w:p>
        </w:tc>
        <w:tc>
          <w:tcPr>
            <w:tcW w:type="dxa" w:w="774"/>
            <w:vAlign w:val="center"/>
          </w:tcPr>
          <w:p>
            <w:pPr>
              <w:spacing w:after="0" w:before="0" w:line="240" w:lineRule="auto"/>
            </w:pPr>
            <w:r>
              <w:rPr>
                <w:color w:val="000000"/>
                <w:sz w:val="19"/>
              </w:rPr>
              <w:t xml:space="preserve">1</w:t>
            </w:r>
          </w:p>
        </w:tc>
      </w:tr>
      <w:tr>
        <w:trPr>
          <w:cantSplit/>
        </w:trPr>
        <w:tc>
          <w:tcPr>
            <w:tcW w:type="dxa" w:w="1650"/>
            <w:vAlign w:val="center"/>
          </w:tcPr>
          <w:p>
            <w:pPr>
              <w:spacing w:after="0" w:before="0" w:line="240" w:lineRule="auto"/>
            </w:pPr>
            <w:r>
              <w:rPr>
                <w:b/>
                <w:color w:val="000000"/>
                <w:sz w:val="19"/>
              </w:rPr>
              <w:t xml:space="preserve">3 Accounting</w:t>
            </w:r>
          </w:p>
        </w:tc>
        <w:tc>
          <w:tcPr>
            <w:tcW w:type="dxa" w:w="3350"/>
            <w:vAlign w:val="center"/>
          </w:tcPr>
          <w:p>
            <w:pPr>
              <w:spacing w:after="0" w:before="0" w:line="240" w:lineRule="auto"/>
            </w:pPr>
            <w:r>
              <w:rPr>
                <w:color w:val="000000"/>
                <w:sz w:val="19"/>
              </w:rPr>
              <w:t xml:space="preserve">Investigate breaks in the Excel reconciliations (X1); assemble close and audit support (X2)</w:t>
            </w:r>
          </w:p>
        </w:tc>
        <w:tc>
          <w:tcPr>
            <w:tcW w:type="dxa" w:w="2350"/>
            <w:vAlign w:val="center"/>
          </w:tcPr>
          <w:p>
            <w:pPr>
              <w:spacing w:after="0" w:before="0" w:line="240" w:lineRule="auto"/>
            </w:pPr>
            <w:r>
              <w:rPr>
                <w:color w:val="000000"/>
                <w:sz w:val="19"/>
              </w:rPr>
              <w:t xml:space="preserve">Reconciliation auto-match, journal posting, period lock</w:t>
            </w:r>
          </w:p>
        </w:tc>
        <w:tc>
          <w:tcPr>
            <w:tcW w:type="dxa" w:w="2100"/>
            <w:vAlign w:val="center"/>
          </w:tcPr>
          <w:p>
            <w:pPr>
              <w:spacing w:after="0" w:before="0" w:line="240" w:lineRule="auto"/>
            </w:pPr>
            <w:r>
              <w:rPr>
                <w:color w:val="000000"/>
                <w:sz w:val="19"/>
              </w:rPr>
              <w:t xml:space="preserve">Finance Manager reviews; Financial Controller signs off; accountants post</w:t>
            </w:r>
          </w:p>
        </w:tc>
        <w:tc>
          <w:tcPr>
            <w:tcW w:type="dxa" w:w="774"/>
            <w:vAlign w:val="center"/>
          </w:tcPr>
          <w:p>
            <w:pPr>
              <w:spacing w:after="0" w:before="0" w:line="240" w:lineRule="auto"/>
            </w:pPr>
            <w:r>
              <w:rPr>
                <w:color w:val="000000"/>
                <w:sz w:val="19"/>
              </w:rPr>
              <w:t xml:space="preserve">1 breaks</w:t>
            </w:r>
          </w:p>
          <w:p>
            <w:pPr>
              <w:spacing w:after="0" w:before="0" w:line="240" w:lineRule="auto"/>
            </w:pPr>
            <w:r>
              <w:rPr>
                <w:color w:val="000000"/>
                <w:sz w:val="19"/>
              </w:rPr>
              <w:t xml:space="preserve">2 support</w:t>
            </w:r>
          </w:p>
        </w:tc>
      </w:tr>
      <w:tr>
        <w:trPr>
          <w:cantSplit/>
        </w:trPr>
        <w:tc>
          <w:tcPr>
            <w:tcW w:type="dxa" w:w="1650"/>
            <w:vAlign w:val="center"/>
          </w:tcPr>
          <w:p>
            <w:pPr>
              <w:spacing w:after="0" w:before="0" w:line="240" w:lineRule="auto"/>
            </w:pPr>
            <w:r>
              <w:rPr>
                <w:b/>
                <w:color w:val="000000"/>
                <w:sz w:val="19"/>
              </w:rPr>
              <w:t xml:space="preserve">4 Revenue</w:t>
            </w:r>
          </w:p>
        </w:tc>
        <w:tc>
          <w:tcPr>
            <w:tcW w:type="dxa" w:w="3350"/>
            <w:vAlign w:val="center"/>
          </w:tcPr>
          <w:p>
            <w:pPr>
              <w:spacing w:after="0" w:before="0" w:line="240" w:lineRule="auto"/>
            </w:pPr>
            <w:r>
              <w:rPr>
                <w:color w:val="000000"/>
                <w:sz w:val="19"/>
              </w:rPr>
              <w:t xml:space="preserve">Investigate unapplied cash and short payments (X1); rank collection cases (X1); draft dispute responses (X3)</w:t>
            </w:r>
          </w:p>
        </w:tc>
        <w:tc>
          <w:tcPr>
            <w:tcW w:type="dxa" w:w="2350"/>
            <w:vAlign w:val="center"/>
          </w:tcPr>
          <w:p>
            <w:pPr>
              <w:spacing w:after="0" w:before="0" w:line="240" w:lineRule="auto"/>
            </w:pPr>
            <w:r>
              <w:rPr>
                <w:color w:val="000000"/>
                <w:sz w:val="19"/>
              </w:rPr>
              <w:t xml:space="preserve">Cash application rules, billing from approved terms, credit limits</w:t>
            </w:r>
          </w:p>
        </w:tc>
        <w:tc>
          <w:tcPr>
            <w:tcW w:type="dxa" w:w="2100"/>
            <w:vAlign w:val="center"/>
          </w:tcPr>
          <w:p>
            <w:pPr>
              <w:spacing w:after="0" w:before="0" w:line="240" w:lineRule="auto"/>
            </w:pPr>
            <w:r>
              <w:rPr>
                <w:color w:val="000000"/>
                <w:sz w:val="19"/>
              </w:rPr>
              <w:t xml:space="preserve">Credit Controller; external contact approved first</w:t>
            </w:r>
          </w:p>
        </w:tc>
        <w:tc>
          <w:tcPr>
            <w:tcW w:type="dxa" w:w="774"/>
            <w:vAlign w:val="center"/>
          </w:tcPr>
          <w:p>
            <w:pPr>
              <w:spacing w:after="0" w:before="0" w:line="240" w:lineRule="auto"/>
            </w:pPr>
            <w:r>
              <w:rPr>
                <w:color w:val="000000"/>
                <w:sz w:val="19"/>
              </w:rPr>
              <w:t xml:space="preserve">1 cash</w:t>
            </w:r>
          </w:p>
          <w:p>
            <w:pPr>
              <w:spacing w:after="0" w:before="0" w:line="240" w:lineRule="auto"/>
            </w:pPr>
            <w:r>
              <w:rPr>
                <w:color w:val="000000"/>
                <w:sz w:val="19"/>
              </w:rPr>
              <w:t xml:space="preserve">2 other</w:t>
            </w:r>
          </w:p>
        </w:tc>
      </w:tr>
      <w:tr>
        <w:trPr>
          <w:cantSplit/>
        </w:trPr>
        <w:tc>
          <w:tcPr>
            <w:tcW w:type="dxa" w:w="1650"/>
            <w:vAlign w:val="center"/>
          </w:tcPr>
          <w:p>
            <w:pPr>
              <w:spacing w:after="0" w:before="0" w:line="240" w:lineRule="auto"/>
            </w:pPr>
            <w:r>
              <w:rPr>
                <w:b/>
                <w:color w:val="000000"/>
                <w:sz w:val="19"/>
              </w:rPr>
              <w:t xml:space="preserve">5 Purchasing</w:t>
            </w:r>
          </w:p>
        </w:tc>
        <w:tc>
          <w:tcPr>
            <w:tcW w:type="dxa" w:w="3350"/>
            <w:vAlign w:val="center"/>
          </w:tcPr>
          <w:p>
            <w:pPr>
              <w:spacing w:after="0" w:before="0" w:line="240" w:lineRule="auto"/>
            </w:pPr>
            <w:r>
              <w:rPr>
                <w:color w:val="000000"/>
                <w:sz w:val="19"/>
              </w:rPr>
              <w:t xml:space="preserve">Investigate match failures and missing receipts (X1); draft accrual support (X2)</w:t>
            </w:r>
          </w:p>
        </w:tc>
        <w:tc>
          <w:tcPr>
            <w:tcW w:type="dxa" w:w="2350"/>
            <w:vAlign w:val="center"/>
          </w:tcPr>
          <w:p>
            <w:pPr>
              <w:spacing w:after="0" w:before="0" w:line="240" w:lineRule="auto"/>
            </w:pPr>
            <w:r>
              <w:rPr>
                <w:color w:val="000000"/>
                <w:sz w:val="19"/>
              </w:rPr>
              <w:t xml:space="preserve">Three-way match, duplicate checks, payment proposal, bank-detail verification</w:t>
            </w:r>
          </w:p>
        </w:tc>
        <w:tc>
          <w:tcPr>
            <w:tcW w:type="dxa" w:w="2100"/>
            <w:vAlign w:val="center"/>
          </w:tcPr>
          <w:p>
            <w:pPr>
              <w:spacing w:after="0" w:before="0" w:line="240" w:lineRule="auto"/>
            </w:pPr>
            <w:r>
              <w:rPr>
                <w:color w:val="000000"/>
                <w:sz w:val="19"/>
              </w:rPr>
              <w:t xml:space="preserve">AP team and budget holders; CFO and second signatory release</w:t>
            </w:r>
          </w:p>
        </w:tc>
        <w:tc>
          <w:tcPr>
            <w:tcW w:type="dxa" w:w="774"/>
            <w:vAlign w:val="center"/>
          </w:tcPr>
          <w:p>
            <w:pPr>
              <w:spacing w:after="0" w:before="0" w:line="240" w:lineRule="auto"/>
            </w:pPr>
            <w:r>
              <w:rPr>
                <w:color w:val="000000"/>
                <w:sz w:val="19"/>
              </w:rPr>
              <w:t xml:space="preserve">1</w:t>
            </w:r>
          </w:p>
        </w:tc>
      </w:tr>
      <w:tr>
        <w:trPr>
          <w:cantSplit/>
        </w:trPr>
        <w:tc>
          <w:tcPr>
            <w:tcW w:type="dxa" w:w="1650"/>
            <w:vAlign w:val="center"/>
          </w:tcPr>
          <w:p>
            <w:pPr>
              <w:spacing w:after="0" w:before="0" w:line="240" w:lineRule="auto"/>
            </w:pPr>
            <w:r>
              <w:rPr>
                <w:b/>
                <w:color w:val="000000"/>
                <w:sz w:val="19"/>
              </w:rPr>
              <w:t xml:space="preserve">6 Treasury</w:t>
            </w:r>
          </w:p>
        </w:tc>
        <w:tc>
          <w:tcPr>
            <w:tcW w:type="dxa" w:w="3350"/>
            <w:vAlign w:val="center"/>
          </w:tcPr>
          <w:p>
            <w:pPr>
              <w:spacing w:after="0" w:before="0" w:line="240" w:lineRule="auto"/>
            </w:pPr>
            <w:r>
              <w:rPr>
                <w:color w:val="000000"/>
                <w:sz w:val="19"/>
              </w:rPr>
              <w:t xml:space="preserve">Investigate forecast-to-actual cash variances (X1); draft liquidity commentary (X3)</w:t>
            </w:r>
          </w:p>
        </w:tc>
        <w:tc>
          <w:tcPr>
            <w:tcW w:type="dxa" w:w="2350"/>
            <w:vAlign w:val="center"/>
          </w:tcPr>
          <w:p>
            <w:pPr>
              <w:spacing w:after="0" w:before="0" w:line="240" w:lineRule="auto"/>
            </w:pPr>
            <w:r>
              <w:rPr>
                <w:color w:val="000000"/>
                <w:sz w:val="19"/>
              </w:rPr>
              <w:t xml:space="preserve">Cash position, covenant calculations, dealing and settlement</w:t>
            </w:r>
          </w:p>
        </w:tc>
        <w:tc>
          <w:tcPr>
            <w:tcW w:type="dxa" w:w="2100"/>
            <w:vAlign w:val="center"/>
          </w:tcPr>
          <w:p>
            <w:pPr>
              <w:spacing w:after="0" w:before="0" w:line="240" w:lineRule="auto"/>
            </w:pPr>
            <w:r>
              <w:rPr>
                <w:color w:val="000000"/>
                <w:sz w:val="19"/>
              </w:rPr>
              <w:t xml:space="preserve">Financial Controller and CFO</w:t>
            </w:r>
          </w:p>
        </w:tc>
        <w:tc>
          <w:tcPr>
            <w:tcW w:type="dxa" w:w="774"/>
            <w:vAlign w:val="center"/>
          </w:tcPr>
          <w:p>
            <w:pPr>
              <w:spacing w:after="0" w:before="0" w:line="240" w:lineRule="auto"/>
            </w:pPr>
            <w:r>
              <w:rPr>
                <w:color w:val="000000"/>
                <w:sz w:val="19"/>
              </w:rPr>
              <w:t xml:space="preserve">2</w:t>
            </w:r>
          </w:p>
        </w:tc>
      </w:tr>
      <w:tr>
        <w:trPr>
          <w:cantSplit/>
        </w:trPr>
        <w:tc>
          <w:tcPr>
            <w:tcW w:type="dxa" w:w="1650"/>
            <w:vAlign w:val="center"/>
          </w:tcPr>
          <w:p>
            <w:pPr>
              <w:spacing w:after="0" w:before="0" w:line="240" w:lineRule="auto"/>
            </w:pPr>
            <w:r>
              <w:rPr>
                <w:b/>
                <w:color w:val="000000"/>
                <w:sz w:val="19"/>
              </w:rPr>
              <w:t xml:space="preserve">7 Tax</w:t>
            </w:r>
          </w:p>
        </w:tc>
        <w:tc>
          <w:tcPr>
            <w:tcW w:type="dxa" w:w="3350"/>
            <w:vAlign w:val="center"/>
          </w:tcPr>
          <w:p>
            <w:pPr>
              <w:spacing w:after="0" w:before="0" w:line="240" w:lineRule="auto"/>
            </w:pPr>
            <w:r>
              <w:rPr>
                <w:color w:val="000000"/>
                <w:sz w:val="19"/>
              </w:rPr>
              <w:t xml:space="preserve">Assemble working papers and reconciliations (X2); flag unusual tax codes (X1)</w:t>
            </w:r>
          </w:p>
        </w:tc>
        <w:tc>
          <w:tcPr>
            <w:tcW w:type="dxa" w:w="2350"/>
            <w:vAlign w:val="center"/>
          </w:tcPr>
          <w:p>
            <w:pPr>
              <w:spacing w:after="0" w:before="0" w:line="240" w:lineRule="auto"/>
            </w:pPr>
            <w:r>
              <w:rPr>
                <w:color w:val="000000"/>
                <w:sz w:val="19"/>
              </w:rPr>
              <w:t xml:space="preserve">Tax calculations and filings</w:t>
            </w:r>
          </w:p>
        </w:tc>
        <w:tc>
          <w:tcPr>
            <w:tcW w:type="dxa" w:w="2100"/>
            <w:vAlign w:val="center"/>
          </w:tcPr>
          <w:p>
            <w:pPr>
              <w:spacing w:after="0" w:before="0" w:line="240" w:lineRule="auto"/>
            </w:pPr>
            <w:r>
              <w:rPr>
                <w:color w:val="000000"/>
                <w:sz w:val="19"/>
              </w:rPr>
              <w:t xml:space="preserve">Financial Controller; tax advisers</w:t>
            </w:r>
          </w:p>
        </w:tc>
        <w:tc>
          <w:tcPr>
            <w:tcW w:type="dxa" w:w="774"/>
            <w:vAlign w:val="center"/>
          </w:tcPr>
          <w:p>
            <w:pPr>
              <w:spacing w:after="0" w:before="0" w:line="240" w:lineRule="auto"/>
            </w:pPr>
            <w:r>
              <w:rPr>
                <w:color w:val="000000"/>
                <w:sz w:val="19"/>
              </w:rPr>
              <w:t xml:space="preserve">3</w:t>
            </w:r>
          </w:p>
        </w:tc>
      </w:tr>
      <w:tr>
        <w:trPr>
          <w:cantSplit/>
        </w:trPr>
        <w:tc>
          <w:tcPr>
            <w:tcW w:type="dxa" w:w="1650"/>
            <w:vAlign w:val="center"/>
          </w:tcPr>
          <w:p>
            <w:pPr>
              <w:spacing w:after="0" w:before="0" w:line="240" w:lineRule="auto"/>
            </w:pPr>
            <w:r>
              <w:rPr>
                <w:b/>
                <w:color w:val="000000"/>
                <w:sz w:val="19"/>
              </w:rPr>
              <w:t xml:space="preserve">8 Controls</w:t>
            </w:r>
          </w:p>
        </w:tc>
        <w:tc>
          <w:tcPr>
            <w:tcW w:type="dxa" w:w="3350"/>
            <w:vAlign w:val="center"/>
          </w:tcPr>
          <w:p>
            <w:pPr>
              <w:spacing w:after="0" w:before="0" w:line="240" w:lineRule="auto"/>
            </w:pPr>
            <w:r>
              <w:rPr>
                <w:color w:val="000000"/>
                <w:sz w:val="19"/>
              </w:rPr>
              <w:t xml:space="preserve">Check control evidence completeness (X2); draft remediation follow-ups (X3)</w:t>
            </w:r>
          </w:p>
        </w:tc>
        <w:tc>
          <w:tcPr>
            <w:tcW w:type="dxa" w:w="2350"/>
            <w:vAlign w:val="center"/>
          </w:tcPr>
          <w:p>
            <w:pPr>
              <w:spacing w:after="0" w:before="0" w:line="240" w:lineRule="auto"/>
            </w:pPr>
            <w:r>
              <w:rPr>
                <w:color w:val="000000"/>
                <w:sz w:val="19"/>
              </w:rPr>
              <w:t xml:space="preserve">Control schedules; access reviews in T13</w:t>
            </w:r>
          </w:p>
        </w:tc>
        <w:tc>
          <w:tcPr>
            <w:tcW w:type="dxa" w:w="2100"/>
            <w:vAlign w:val="center"/>
          </w:tcPr>
          <w:p>
            <w:pPr>
              <w:spacing w:after="0" w:before="0" w:line="240" w:lineRule="auto"/>
            </w:pPr>
            <w:r>
              <w:rPr>
                <w:color w:val="000000"/>
                <w:sz w:val="19"/>
              </w:rPr>
              <w:t xml:space="preserve">Control owners; Finance Manager; Financial Controller tests independently</w:t>
            </w:r>
          </w:p>
        </w:tc>
        <w:tc>
          <w:tcPr>
            <w:tcW w:type="dxa" w:w="774"/>
            <w:vAlign w:val="center"/>
          </w:tcPr>
          <w:p>
            <w:pPr>
              <w:spacing w:after="0" w:before="0" w:line="240" w:lineRule="auto"/>
            </w:pPr>
            <w:r>
              <w:rPr>
                <w:color w:val="000000"/>
                <w:sz w:val="19"/>
              </w:rPr>
              <w:t xml:space="preserve">2</w:t>
            </w:r>
          </w:p>
        </w:tc>
      </w:tr>
      <w:tr>
        <w:trPr>
          <w:cantSplit/>
        </w:trPr>
        <w:tc>
          <w:tcPr>
            <w:tcW w:type="dxa" w:w="1650"/>
            <w:vAlign w:val="center"/>
          </w:tcPr>
          <w:p>
            <w:pPr>
              <w:spacing w:after="0" w:before="0" w:line="240" w:lineRule="auto"/>
            </w:pPr>
            <w:r>
              <w:rPr>
                <w:b/>
                <w:color w:val="000000"/>
                <w:sz w:val="19"/>
              </w:rPr>
              <w:t xml:space="preserve">9 Capital</w:t>
            </w:r>
          </w:p>
        </w:tc>
        <w:tc>
          <w:tcPr>
            <w:tcW w:type="dxa" w:w="3350"/>
            <w:vAlign w:val="center"/>
          </w:tcPr>
          <w:p>
            <w:pPr>
              <w:spacing w:after="0" w:before="0" w:line="240" w:lineRule="auto"/>
            </w:pPr>
            <w:r>
              <w:rPr>
                <w:color w:val="000000"/>
                <w:sz w:val="19"/>
              </w:rPr>
              <w:t xml:space="preserve">Find gaps and inconsistent assumptions in business cases (X1); draft benefits reviews (X3)</w:t>
            </w:r>
          </w:p>
        </w:tc>
        <w:tc>
          <w:tcPr>
            <w:tcW w:type="dxa" w:w="2350"/>
            <w:vAlign w:val="center"/>
          </w:tcPr>
          <w:p>
            <w:pPr>
              <w:spacing w:after="0" w:before="0" w:line="240" w:lineRule="auto"/>
            </w:pPr>
            <w:r>
              <w:rPr>
                <w:color w:val="000000"/>
                <w:sz w:val="19"/>
              </w:rPr>
              <w:t xml:space="preserve">Valuation models in T3</w:t>
            </w:r>
          </w:p>
        </w:tc>
        <w:tc>
          <w:tcPr>
            <w:tcW w:type="dxa" w:w="2100"/>
            <w:vAlign w:val="center"/>
          </w:tcPr>
          <w:p>
            <w:pPr>
              <w:spacing w:after="0" w:before="0" w:line="240" w:lineRule="auto"/>
            </w:pPr>
            <w:r>
              <w:rPr>
                <w:color w:val="000000"/>
                <w:sz w:val="19"/>
              </w:rPr>
              <w:t xml:space="preserve">Sponsor; committee or board</w:t>
            </w:r>
          </w:p>
        </w:tc>
        <w:tc>
          <w:tcPr>
            <w:tcW w:type="dxa" w:w="774"/>
            <w:vAlign w:val="center"/>
          </w:tcPr>
          <w:p>
            <w:pPr>
              <w:spacing w:after="0" w:before="0" w:line="240" w:lineRule="auto"/>
            </w:pPr>
            <w:r>
              <w:rPr>
                <w:color w:val="000000"/>
                <w:sz w:val="19"/>
              </w:rPr>
              <w:t xml:space="preserve">3</w:t>
            </w:r>
          </w:p>
        </w:tc>
      </w:tr>
      <w:tr>
        <w:trPr>
          <w:cantSplit/>
        </w:trPr>
        <w:tc>
          <w:tcPr>
            <w:tcW w:type="dxa" w:w="1650"/>
            <w:vAlign w:val="center"/>
          </w:tcPr>
          <w:p>
            <w:pPr>
              <w:spacing w:after="0" w:before="0" w:line="240" w:lineRule="auto"/>
            </w:pPr>
            <w:r>
              <w:rPr>
                <w:b/>
                <w:color w:val="000000"/>
                <w:sz w:val="19"/>
              </w:rPr>
              <w:t xml:space="preserve">10 Reporting</w:t>
            </w:r>
          </w:p>
        </w:tc>
        <w:tc>
          <w:tcPr>
            <w:tcW w:type="dxa" w:w="3350"/>
            <w:vAlign w:val="center"/>
          </w:tcPr>
          <w:p>
            <w:pPr>
              <w:spacing w:after="0" w:before="0" w:line="240" w:lineRule="auto"/>
            </w:pPr>
            <w:r>
              <w:rPr>
                <w:color w:val="000000"/>
                <w:sz w:val="19"/>
              </w:rPr>
              <w:t xml:space="preserve">Tie pack figures to source (X4); draft narrative from accepted outputs (X3)</w:t>
            </w:r>
          </w:p>
        </w:tc>
        <w:tc>
          <w:tcPr>
            <w:tcW w:type="dxa" w:w="2350"/>
            <w:vAlign w:val="center"/>
          </w:tcPr>
          <w:p>
            <w:pPr>
              <w:spacing w:after="0" w:before="0" w:line="240" w:lineRule="auto"/>
            </w:pPr>
            <w:r>
              <w:rPr>
                <w:color w:val="000000"/>
                <w:sz w:val="19"/>
              </w:rPr>
              <w:t xml:space="preserve">Report generation in T11</w:t>
            </w:r>
          </w:p>
        </w:tc>
        <w:tc>
          <w:tcPr>
            <w:tcW w:type="dxa" w:w="2100"/>
            <w:vAlign w:val="center"/>
          </w:tcPr>
          <w:p>
            <w:pPr>
              <w:spacing w:after="0" w:before="0" w:line="240" w:lineRule="auto"/>
            </w:pPr>
            <w:r>
              <w:rPr>
                <w:color w:val="000000"/>
                <w:sz w:val="19"/>
              </w:rPr>
              <w:t xml:space="preserve">CFO and CEO; </w:t>
            </w:r>
            <w:r>
              <w:rPr>
                <w:color w:val="000000"/>
                <w:sz w:val="19"/>
                <w:highlight w:val="yellow"/>
              </w:rPr>
              <w:t xml:space="preserve">[company secretary or CFO]</w:t>
            </w:r>
            <w:r>
              <w:rPr>
                <w:color w:val="000000"/>
                <w:sz w:val="19"/>
              </w:rPr>
              <w:t xml:space="preserve"> distributes</w:t>
            </w:r>
          </w:p>
        </w:tc>
        <w:tc>
          <w:tcPr>
            <w:tcW w:type="dxa" w:w="774"/>
            <w:vAlign w:val="center"/>
          </w:tcPr>
          <w:p>
            <w:pPr>
              <w:spacing w:after="0" w:before="0" w:line="240" w:lineRule="auto"/>
            </w:pPr>
            <w:r>
              <w:rPr>
                <w:color w:val="000000"/>
                <w:sz w:val="19"/>
              </w:rPr>
              <w:t xml:space="preserve">1 X4</w:t>
            </w:r>
          </w:p>
          <w:p>
            <w:pPr>
              <w:spacing w:after="0" w:before="0" w:line="240" w:lineRule="auto"/>
            </w:pPr>
            <w:r>
              <w:rPr>
                <w:color w:val="000000"/>
                <w:sz w:val="19"/>
              </w:rPr>
              <w:t xml:space="preserve">2 X3</w:t>
            </w:r>
          </w:p>
        </w:tc>
      </w:tr>
    </w:tbl>
    <w:p>
      <w:pPr>
        <w:spacing w:after="100"/>
      </w:pPr>
      <w:r>
        <w:rPr>
          <w:b/>
          <w:sz w:val="20"/>
        </w:rPr>
        <w:t xml:space="preserve">Never delegated to agents: </w:t>
      </w:r>
      <w:r>
        <w:rPr>
          <w:sz w:val="20"/>
        </w:rPr>
        <w:t xml:space="preserve">Journal posting, master-data and bank-detail changes, payment release, funding and hedging execution, tax filing, credit-limit changes, write-offs and any external communication without approval.</w:t>
      </w:r>
    </w:p>
    <w:p>
      <w:r>
        <w:rPr>
          <w:b/>
          <w:sz w:val="20"/>
        </w:rPr>
        <w:t xml:space="preserve">Phase entry criteria: </w:t>
      </w:r>
      <w:r>
        <w:rPr>
          <w:sz w:val="20"/>
        </w:rPr>
        <w:t xml:space="preserve">Phase 2 starts only when Phase 1 use cases meet their accuracy targets in shadow mode and reviewers confirm time saved. Phase 3 also needs the change-control arrangements in this part to be operating.</w:t>
      </w:r>
    </w:p>
    <w:p>
      <w:pPr>
        <w:pStyle w:val="Title"/>
        <w:pageBreakBefore/>
      </w:pPr>
      <w:r>
        <w:t>CFO office process guide</w:t>
      </w:r>
    </w:p>
    <w:p>
      <w:pPr>
        <w:pStyle w:val="Heading1"/>
      </w:pPr>
      <w:r>
        <w:t xml:space="preserve">How agent work flows</w:t>
      </w:r>
    </w:p>
    <w:p>
      <w:pPr>
        <w:spacing w:after="80"/>
      </w:pPr>
      <w:r>
        <w:t xml:space="preserve">Every task follows the same route, whichever process raises it.</w:t>
      </w:r>
    </w:p>
    <w:p>
      <w:pPr>
        <w:spacing w:after="60"/>
        <w:jc w:val="center"/>
      </w:pPr>
      <w:r>
        <w:drawing>
          <wp:inline distT="0" distB="0" distL="0" distR="0">
            <wp:extent cx="6492240" cy="4029666"/>
            <wp:effectExtent l="0" t="0" r="0" b="0"/>
            <wp:docPr id="3" name="Picture 3" descr="A trigger opens a task in the workflow engine; data checks run; existing system rules handle routine items and pass exceptions to a task-shaped agent; automated checks test the draft; a named human approver accepts or returns it with reasons; authorised staff execute in the system of record; the workflow engine closes the task; other processes read the posted record from the system."/>
            <wp:cNvGraphicFramePr>
              <a:graphicFrameLocks noChangeAspect="1"/>
            </wp:cNvGraphicFramePr>
            <a:graphic>
              <a:graphicData uri="http://schemas.openxmlformats.org/drawingml/2006/picture">
                <pic:pic>
                  <pic:nvPicPr>
                    <pic:cNvPr id="3" name="agent_flow.png"/>
                    <pic:cNvPicPr/>
                  </pic:nvPicPr>
                  <pic:blipFill>
                    <a:blip r:embed="rId14"/>
                    <a:stretch>
                      <a:fillRect/>
                    </a:stretch>
                  </pic:blipFill>
                  <pic:spPr>
                    <a:xfrm>
                      <a:off x="0" y="0"/>
                      <a:ext cx="6492240" cy="4029666"/>
                    </a:xfrm>
                    <a:prstGeom prst="rect">
                      <a:avLst/>
                    </a:prstGeom>
                  </pic:spPr>
                </pic:pic>
              </a:graphicData>
            </a:graphic>
          </wp:inline>
        </w:drawing>
      </w:r>
    </w:p>
    <w:p>
      <w:r>
        <w:rPr>
          <w:b/>
          <w:sz w:val="20"/>
        </w:rPr>
        <w:t xml:space="preserve">Task record: </w:t>
      </w:r>
      <w:r>
        <w:rPr>
          <w:sz w:val="20"/>
        </w:rPr>
        <w:t xml:space="preserve">Carry the process and task IDs, entity, period, currency, source record links and versions, playbook and model versions, proposed output, assumptions, exceptions, owner, due date and status. Status distinguishes draft, checked, approved, executed and reconciled; an approval alone is not proof of execution.</w:t>
      </w:r>
    </w:p>
    <w:p>
      <w:r>
        <w:rPr>
          <w:b/>
          <w:sz w:val="20"/>
        </w:rPr>
        <w:t xml:space="preserve">Completion and recovery: </w:t>
      </w:r>
      <w:r>
        <w:rPr>
          <w:sz w:val="20"/>
        </w:rPr>
        <w:t xml:space="preserve">The workflow engine closes a task only when the system of record shows the executed result. Source versions are rechecked before any authorised action. If an outcome is uncertain, staff check the existing transaction reference before retrying, so nothing is posted or paid twice. Missing evidence, failed checks and unresolved judgement stop the task and go to its human owner.</w:t>
      </w:r>
    </w:p>
    <w:p>
      <w:pPr>
        <w:pStyle w:val="Heading2"/>
      </w:pPr>
      <w:r>
        <w:t xml:space="preserve">Example: a supplier invoice from receipt to board reporting</w:t>
      </w:r>
    </w:p>
    <w:p>
      <w:r>
        <w:rPr>
          <w:sz w:val="20"/>
        </w:rPr>
        <w:t xml:space="preserve">An invoice arrives in the AP inbox (T9) and fails the three-way match in T2 because no receipt is recorded. The workflow engine opens a task and data checks confirm the order and supplier are valid. X1 finds the related order and delivery correspondence and, through the workflow engine, asks the service owner to confirm receipt. Once confirmed, AP approves the invoice and authorised staff post the liability in T1. Nothing passes between agents from here: the close uses the posted liability in T1, the cash forecast picks up its due date through E3, and if the cost creates a variance, X3 drafts commentary from the T1 record for the business partner to validate. X4 later ties the reported figure in the board pack back to the same record.</w:t>
      </w:r>
    </w:p>
    <w:p>
      <w:pPr>
        <w:pStyle w:val="Title"/>
        <w:pageBreakBefore/>
      </w:pPr>
      <w:r>
        <w:t>CFO office process guide</w:t>
      </w:r>
    </w:p>
    <w:p>
      <w:pPr>
        <w:pStyle w:val="Heading1"/>
      </w:pPr>
      <w:r>
        <w:t xml:space="preserve">Controls, security and assurance</w:t>
      </w:r>
    </w:p>
    <w:p>
      <w:pPr>
        <w:pStyle w:val="Heading2"/>
      </w:pPr>
      <w:r>
        <w:t xml:space="preserve">Quality review is not independent review</w:t>
      </w:r>
    </w:p>
    <w:p>
      <w:r>
        <w:t xml:space="preserve">A second pass by another agent can catch errors, but it shares the same model’s blind spots, so it is a quality check, not a control. The control is the named human reviewer, with preparer and approver separated as in Part A. The Financial Controller’s quarterly control tests, and the external auditors at year-end, should cover agent-supported controls.</w:t>
      </w:r>
    </w:p>
    <w:p>
      <w:pPr>
        <w:pStyle w:val="Heading2"/>
      </w:pPr>
      <w:r>
        <w:t xml:space="preserve">Untrusted inputs</w:t>
      </w:r>
    </w:p>
    <w:p>
      <w:pPr>
        <w:spacing w:after="100"/>
      </w:pPr>
      <w:r>
        <w:t xml:space="preserve">Supplier invoices, remittances, customer emails, contracts and portal downloads come from outside the company and can contain text written to manipulate an agent. The design treats them as data, never as instructions.</w:t>
      </w:r>
    </w:p>
    <w:p>
      <w:pPr>
        <w:spacing w:after="100"/>
      </w:pPr>
      <w:r>
        <w:rPr>
          <w:b/>
        </w:rPr>
        <w:t xml:space="preserve">Separation: </w:t>
      </w:r>
      <w:r>
        <w:t xml:space="preserve">Agents that read external documents cannot change master data, approve, pay or send messages. Their outputs are proposals in T6.</w:t>
      </w:r>
    </w:p>
    <w:p>
      <w:pPr>
        <w:spacing w:after="100"/>
      </w:pPr>
      <w:r>
        <w:rPr>
          <w:b/>
        </w:rPr>
        <w:t xml:space="preserve">Payment safety: </w:t>
      </w:r>
      <w:r>
        <w:t xml:space="preserve">Bank details used for any payment come from master data only. A bank-detail change, whether requested or found in a document, is checked by X1 against the supplier’s history, verified by an AP call-back on the number already held (not by the requester or FP&amp;A), and approved by the Financial Controller before FP&amp;A keys it. Customer set-ups move to the AR team, next to the credit check. Agents cannot change master data or payments.</w:t>
      </w:r>
    </w:p>
    <w:p>
      <w:r>
        <w:rPr>
          <w:b/>
        </w:rPr>
        <w:t xml:space="preserve">Detection: </w:t>
      </w:r>
      <w:r>
        <w:t xml:space="preserve">Instructions found inside documents, unusual urgency and mismatches between a document and master data are flagged to the case owner.</w:t>
      </w:r>
    </w:p>
    <w:p>
      <w:pPr>
        <w:pStyle w:val="Heading2"/>
      </w:pPr>
      <w:r>
        <w:t xml:space="preserve">Agents are in-scope systems</w:t>
      </w:r>
    </w:p>
    <w:p>
      <w:r>
        <w:t xml:space="preserve">Agents, playbooks, prompts, model versions and tool permissions are recorded in an inventory and changed only through IT change control, with the test set rerun before release. Every tool call is logged against its task ID. Agent service identities are included in regular access reviews (T13). </w:t>
      </w:r>
      <w:r>
        <w:rPr>
          <w:highlight w:val="yellow"/>
        </w:rPr>
        <w:t xml:space="preserve">[If the company is in scope of Provision 29 of the UK Corporate Governance Code 2024, which applies to financial years beginning on or after 1 January 2026, include agent-supported controls in the material controls assessment.]</w:t>
      </w:r>
    </w:p>
    <w:p>
      <w:pPr>
        <w:pStyle w:val="Heading2"/>
      </w:pPr>
      <w:r>
        <w:t xml:space="preserve">Data protection</w:t>
      </w:r>
    </w:p>
    <w:p>
      <w:r>
        <w:t xml:space="preserve">Agents receive the minimum data each task needs. Payroll is visible to agents only as totals and headcount by department: payroll changes, the line-by-line payroll check, P11Ds, gender pay figures, sales commission and pension administration stay with people. Complete a data protection impact assessment before any use case involving personal data goes live, and confirm the model provider’s data processing and retention terms </w:t>
      </w:r>
      <w:r>
        <w:rPr>
          <w:highlight w:val="yellow"/>
        </w:rPr>
        <w:t xml:space="preserve">[owner and date]</w:t>
      </w:r>
      <w:r>
        <w:t xml:space="preserve">.</w:t>
      </w:r>
    </w:p>
    <w:p>
      <w:pPr>
        <w:pStyle w:val="Title"/>
        <w:pageBreakBefore/>
      </w:pPr>
      <w:r>
        <w:t>CFO office process guide</w:t>
      </w:r>
    </w:p>
    <w:p>
      <w:pPr>
        <w:pStyle w:val="Heading1"/>
      </w:pPr>
      <w:r>
        <w:t xml:space="preserve">Evaluation and rollout</w:t>
      </w:r>
    </w:p>
    <w:p>
      <w:pPr>
        <w:pStyle w:val="Heading2"/>
      </w:pPr>
      <w:r>
        <w:t xml:space="preserve">Baseline first</w:t>
      </w:r>
    </w:p>
    <w:p>
      <w:r>
        <w:t xml:space="preserve">Before building anything, record each use case’s current volume, cycle time, error or rework rate and staff effort </w:t>
      </w:r>
      <w:r>
        <w:rPr>
          <w:highlight w:val="yellow"/>
        </w:rPr>
        <w:t xml:space="preserve">[to be measured]</w:t>
      </w:r>
      <w:r>
        <w:t xml:space="preserve">. Without a baseline, value cannot be demonstrated.</w:t>
      </w:r>
    </w:p>
    <w:p>
      <w:pPr>
        <w:pStyle w:val="Heading2"/>
      </w:pPr>
      <w:r>
        <w:t xml:space="preserve">Test sets</w:t>
      </w:r>
    </w:p>
    <w:p>
      <w:r>
        <w:t xml:space="preserve">Build a test set from past cases with known resolutions, for example last year’s reconciliation breaks and how they were cleared. The process owner sets the accuracy target before testing starts.</w:t>
      </w:r>
    </w:p>
    <w:p>
      <w:pPr>
        <w:pStyle w:val="Heading2"/>
      </w:pPr>
      <w:r>
        <w:t xml:space="preserve">Autonomy levels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900"/>
        <w:gridCol w:w="4724"/>
        <w:gridCol w:w="3600"/>
      </w:tblGrid>
      <w:tr>
        <w:trPr>
          <w:tblHeader/>
        </w:trPr>
        <w:tc>
          <w:tcPr>
            <w:tcW w:type="dxa" w:w="1900"/>
            <w:shd w:val="clear" w:color="auto" w:fill="DCE6F1"/>
            <w:vAlign w:val="center"/>
          </w:tcPr>
          <w:p>
            <w:pPr>
              <w:spacing w:after="0" w:before="0" w:line="240" w:lineRule="auto"/>
            </w:pPr>
            <w:r>
              <w:rPr>
                <w:b/>
                <w:color w:val="000000"/>
                <w:sz w:val="19"/>
              </w:rPr>
              <w:t xml:space="preserve">Level</w:t>
            </w:r>
          </w:p>
        </w:tc>
        <w:tc>
          <w:tcPr>
            <w:tcW w:type="dxa" w:w="4724"/>
            <w:shd w:val="clear" w:color="auto" w:fill="DCE6F1"/>
            <w:vAlign w:val="center"/>
          </w:tcPr>
          <w:p>
            <w:pPr>
              <w:spacing w:after="0" w:before="0" w:line="240" w:lineRule="auto"/>
            </w:pPr>
            <w:r>
              <w:rPr>
                <w:b/>
                <w:color w:val="000000"/>
                <w:sz w:val="19"/>
              </w:rPr>
              <w:t xml:space="preserve">How it works</w:t>
            </w:r>
          </w:p>
        </w:tc>
        <w:tc>
          <w:tcPr>
            <w:tcW w:type="dxa" w:w="3600"/>
            <w:shd w:val="clear" w:color="auto" w:fill="DCE6F1"/>
            <w:vAlign w:val="center"/>
          </w:tcPr>
          <w:p>
            <w:pPr>
              <w:spacing w:after="0" w:before="0" w:line="240" w:lineRule="auto"/>
            </w:pPr>
            <w:r>
              <w:rPr>
                <w:b/>
                <w:color w:val="000000"/>
                <w:sz w:val="19"/>
              </w:rPr>
              <w:t xml:space="preserve">To move up</w:t>
            </w:r>
          </w:p>
        </w:tc>
      </w:tr>
      <w:tr>
        <w:trPr>
          <w:cantSplit/>
        </w:trPr>
        <w:tc>
          <w:tcPr>
            <w:tcW w:type="dxa" w:w="1900"/>
            <w:vAlign w:val="center"/>
          </w:tcPr>
          <w:p>
            <w:pPr>
              <w:spacing w:after="0" w:before="0" w:line="240" w:lineRule="auto"/>
            </w:pPr>
            <w:r>
              <w:rPr>
                <w:b/>
                <w:color w:val="000000"/>
                <w:sz w:val="19"/>
              </w:rPr>
              <w:t xml:space="preserve">L0 Shadow</w:t>
            </w:r>
          </w:p>
        </w:tc>
        <w:tc>
          <w:tcPr>
            <w:tcW w:type="dxa" w:w="4724"/>
            <w:vAlign w:val="center"/>
          </w:tcPr>
          <w:p>
            <w:pPr>
              <w:spacing w:after="0" w:before="0" w:line="240" w:lineRule="auto"/>
            </w:pPr>
            <w:r>
              <w:rPr>
                <w:color w:val="000000"/>
                <w:sz w:val="19"/>
              </w:rPr>
              <w:t xml:space="preserve">The agent runs on live cases; its output is compared with what staff did but not used.</w:t>
            </w:r>
          </w:p>
        </w:tc>
        <w:tc>
          <w:tcPr>
            <w:tcW w:type="dxa" w:w="3600"/>
            <w:vAlign w:val="center"/>
          </w:tcPr>
          <w:p>
            <w:pPr>
              <w:spacing w:after="0" w:before="0" w:line="240" w:lineRule="auto"/>
            </w:pPr>
            <w:r>
              <w:rPr>
                <w:color w:val="000000"/>
                <w:sz w:val="19"/>
              </w:rPr>
              <w:t xml:space="preserve">Meets the accuracy target over </w:t>
            </w:r>
            <w:r>
              <w:rPr>
                <w:color w:val="000000"/>
                <w:sz w:val="19"/>
                <w:highlight w:val="yellow"/>
              </w:rPr>
              <w:t xml:space="preserve">[__]</w:t>
            </w:r>
            <w:r>
              <w:rPr>
                <w:color w:val="000000"/>
                <w:sz w:val="19"/>
              </w:rPr>
              <w:t xml:space="preserve"> cases and </w:t>
            </w:r>
            <w:r>
              <w:rPr>
                <w:color w:val="000000"/>
                <w:sz w:val="19"/>
                <w:highlight w:val="yellow"/>
              </w:rPr>
              <w:t xml:space="preserve">[__]</w:t>
            </w:r>
            <w:r>
              <w:rPr>
                <w:color w:val="000000"/>
                <w:sz w:val="19"/>
              </w:rPr>
              <w:t xml:space="preserve"> weeks.</w:t>
            </w:r>
          </w:p>
        </w:tc>
      </w:tr>
      <w:tr>
        <w:trPr>
          <w:cantSplit/>
        </w:trPr>
        <w:tc>
          <w:tcPr>
            <w:tcW w:type="dxa" w:w="1900"/>
            <w:vAlign w:val="center"/>
          </w:tcPr>
          <w:p>
            <w:pPr>
              <w:spacing w:after="0" w:before="0" w:line="240" w:lineRule="auto"/>
            </w:pPr>
            <w:r>
              <w:rPr>
                <w:b/>
                <w:color w:val="000000"/>
                <w:sz w:val="19"/>
              </w:rPr>
              <w:t xml:space="preserve">L1 Draft for review</w:t>
            </w:r>
          </w:p>
        </w:tc>
        <w:tc>
          <w:tcPr>
            <w:tcW w:type="dxa" w:w="4724"/>
            <w:vAlign w:val="center"/>
          </w:tcPr>
          <w:p>
            <w:pPr>
              <w:spacing w:after="0" w:before="0" w:line="240" w:lineRule="auto"/>
            </w:pPr>
            <w:r>
              <w:rPr>
                <w:color w:val="000000"/>
                <w:sz w:val="19"/>
              </w:rPr>
              <w:t xml:space="preserve">Every output is accepted, amended or returned by a named reviewer.</w:t>
            </w:r>
          </w:p>
        </w:tc>
        <w:tc>
          <w:tcPr>
            <w:tcW w:type="dxa" w:w="3600"/>
            <w:vAlign w:val="center"/>
          </w:tcPr>
          <w:p>
            <w:pPr>
              <w:spacing w:after="0" w:before="0" w:line="240" w:lineRule="auto"/>
            </w:pPr>
            <w:r>
              <w:rPr>
                <w:color w:val="000000"/>
                <w:sz w:val="19"/>
              </w:rPr>
              <w:t xml:space="preserve">Accepted without material change in more than </w:t>
            </w:r>
            <w:r>
              <w:rPr>
                <w:color w:val="000000"/>
                <w:sz w:val="19"/>
                <w:highlight w:val="yellow"/>
              </w:rPr>
              <w:t xml:space="preserve">[__%]</w:t>
            </w:r>
            <w:r>
              <w:rPr>
                <w:color w:val="000000"/>
                <w:sz w:val="19"/>
              </w:rPr>
              <w:t xml:space="preserve"> of cases, with no critical errors over </w:t>
            </w:r>
            <w:r>
              <w:rPr>
                <w:color w:val="000000"/>
                <w:sz w:val="19"/>
                <w:highlight w:val="yellow"/>
              </w:rPr>
              <w:t xml:space="preserve">[__]</w:t>
            </w:r>
            <w:r>
              <w:rPr>
                <w:color w:val="000000"/>
                <w:sz w:val="19"/>
              </w:rPr>
              <w:t xml:space="preserve"> weeks.</w:t>
            </w:r>
          </w:p>
        </w:tc>
      </w:tr>
      <w:tr>
        <w:trPr>
          <w:cantSplit/>
        </w:trPr>
        <w:tc>
          <w:tcPr>
            <w:tcW w:type="dxa" w:w="1900"/>
            <w:vAlign w:val="center"/>
          </w:tcPr>
          <w:p>
            <w:pPr>
              <w:spacing w:after="0" w:before="0" w:line="240" w:lineRule="auto"/>
            </w:pPr>
            <w:r>
              <w:rPr>
                <w:b/>
                <w:color w:val="000000"/>
                <w:sz w:val="19"/>
              </w:rPr>
              <w:t xml:space="preserve">L2 Sampled review</w:t>
            </w:r>
          </w:p>
        </w:tc>
        <w:tc>
          <w:tcPr>
            <w:tcW w:type="dxa" w:w="4724"/>
            <w:vAlign w:val="center"/>
          </w:tcPr>
          <w:p>
            <w:pPr>
              <w:spacing w:after="0" w:before="0" w:line="240" w:lineRule="auto"/>
            </w:pPr>
            <w:r>
              <w:rPr>
                <w:color w:val="000000"/>
                <w:sz w:val="19"/>
              </w:rPr>
              <w:t xml:space="preserve">For defined low-risk categories under a value threshold, reviewers check a sample; everything else stays at L1.</w:t>
            </w:r>
          </w:p>
        </w:tc>
        <w:tc>
          <w:tcPr>
            <w:tcW w:type="dxa" w:w="3600"/>
            <w:vAlign w:val="center"/>
          </w:tcPr>
          <w:p>
            <w:pPr>
              <w:spacing w:after="0" w:before="0" w:line="240" w:lineRule="auto"/>
            </w:pPr>
            <w:r>
              <w:rPr>
                <w:color w:val="000000"/>
                <w:sz w:val="19"/>
              </w:rPr>
              <w:t xml:space="preserve">Approved by the process owner and controller; sample results reported monthly.</w:t>
            </w:r>
          </w:p>
        </w:tc>
      </w:tr>
      <w:tr>
        <w:trPr>
          <w:cantSplit/>
        </w:trPr>
        <w:tc>
          <w:tcPr>
            <w:tcW w:type="dxa" w:w="1900"/>
            <w:vAlign w:val="center"/>
          </w:tcPr>
          <w:p>
            <w:pPr>
              <w:spacing w:after="0" w:before="0" w:line="240" w:lineRule="auto"/>
            </w:pPr>
            <w:r>
              <w:rPr>
                <w:b/>
                <w:color w:val="000000"/>
                <w:sz w:val="19"/>
              </w:rPr>
              <w:t xml:space="preserve">Not used</w:t>
            </w:r>
          </w:p>
        </w:tc>
        <w:tc>
          <w:tcPr>
            <w:tcW w:type="dxa" w:w="4724"/>
            <w:vAlign w:val="center"/>
          </w:tcPr>
          <w:p>
            <w:pPr>
              <w:spacing w:after="0" w:before="0" w:line="240" w:lineRule="auto"/>
            </w:pPr>
            <w:r>
              <w:rPr>
                <w:color w:val="000000"/>
                <w:sz w:val="19"/>
              </w:rPr>
              <w:t xml:space="preserve">Autonomous posting, payment, filing or external communication.</w:t>
            </w:r>
          </w:p>
        </w:tc>
        <w:tc>
          <w:tcPr>
            <w:tcW w:type="dxa" w:w="3600"/>
            <w:vAlign w:val="center"/>
          </w:tcPr>
          <w:p>
            <w:pPr>
              <w:spacing w:after="0" w:before="0" w:line="240" w:lineRule="auto"/>
            </w:pPr>
            <w:r>
              <w:rPr>
                <w:color w:val="000000"/>
                <w:sz w:val="19"/>
              </w:rPr>
              <w:t xml:space="preserve">Out of scope.</w:t>
            </w:r>
          </w:p>
        </w:tc>
      </w:tr>
    </w:tbl>
    <w:p>
      <w:pPr>
        <w:pStyle w:val="Heading2"/>
      </w:pPr>
      <w:r>
        <w:t xml:space="preserve">Ongoing monitoring</w:t>
      </w:r>
    </w:p>
    <w:p>
      <w:pPr>
        <w:spacing w:after="200"/>
      </w:pPr>
      <w:r>
        <w:t xml:space="preserve">Track acceptance rate, reasons for amendments and returns, rework, time saved, cost per task and incidents. Rerun the test set before any change to model, prompt, playbook or tool access. A use case that falls below target returns to the previous level.</w:t>
      </w:r>
    </w:p>
    <w:p>
      <w:pPr>
        <w:spacing w:after="40"/>
      </w:pPr>
      <w:r>
        <w:rPr>
          <w:sz w:val="18"/>
        </w:rPr>
        <w:t xml:space="preserve">Design reference: Anthropic, Building effective agents, 19 December 2024. It advises starting with the simplest solution and adding agentic complexity only where it demonstrably improves outcomes; this part applies that advice to the processes in Part A.</w:t>
      </w:r>
    </w:p>
    <w:p>
      <w:pPr>
        <w:spacing w:after="0"/>
      </w:pPr>
      <w:r>
        <w:rPr>
          <w:sz w:val="18"/>
        </w:rPr>
        <w:t xml:space="preserve">https://www.anthropic.com/engineering/building-effective-agents</w:t>
      </w:r>
    </w:p>
    <w:p>
      <w:pPr>
        <w:pStyle w:val="Title"/>
        <w:pageBreakBefore/>
      </w:pPr>
      <w:r>
        <w:t>CFO office process guide</w:t>
      </w:r>
    </w:p>
    <w:p>
      <w:pPr>
        <w:pStyle w:val="Heading1"/>
      </w:pPr>
      <w:r>
        <w:t xml:space="preserve">Simulation assumptions</w:t>
      </w:r>
    </w:p>
    <w:p>
      <w:pPr>
        <w:spacing w:after="120"/>
      </w:pPr>
      <w:r>
        <w:t xml:space="preserve">These are the starting assumptions for the processes and volumes. Part D describes the simulation in full, including its calendar, variability and financial assumptions. The interactive simulation that accompanies this guide runs the same month, or a full year, under today’s way of working and the recommended model. The recommended model shows the end state after all three rollout phases, with every use case live and low-value items sample-checked; the rollout itself is staged as described in Evaluation and rollout. Every figure below is a placeholder for a single-entity UK business of this size </w:t>
      </w:r>
      <w:r>
        <w:rPr>
          <w:highlight w:val="yellow"/>
        </w:rPr>
        <w:t xml:space="preserve">[replace from the team’s own data]</w:t>
      </w:r>
      <w:r>
        <w:t xml:space="preserve">.</w:t>
      </w:r>
    </w:p>
    <w:p>
      <w:pPr>
        <w:pStyle w:val="Heading2"/>
      </w:pPr>
      <w:r>
        <w:t xml:space="preserve">Timetable and calendar</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4200"/>
        <w:gridCol w:w="3000"/>
        <w:gridCol w:w="3024"/>
      </w:tblGrid>
      <w:tr>
        <w:trPr>
          <w:tblHeader/>
        </w:trPr>
        <w:tc>
          <w:tcPr>
            <w:tcW w:type="dxa" w:w="4200"/>
            <w:shd w:val="clear" w:color="auto" w:fill="DCE6F1"/>
            <w:vAlign w:val="center"/>
          </w:tcPr>
          <w:p>
            <w:pPr>
              <w:spacing w:after="0" w:before="0" w:line="240" w:lineRule="auto"/>
            </w:pPr>
            <w:r>
              <w:rPr>
                <w:b/>
                <w:color w:val="000000"/>
                <w:sz w:val="18"/>
              </w:rPr>
              <w:t xml:space="preserve">Item</w:t>
            </w:r>
          </w:p>
        </w:tc>
        <w:tc>
          <w:tcPr>
            <w:tcW w:type="dxa" w:w="3000"/>
            <w:shd w:val="clear" w:color="auto" w:fill="DCE6F1"/>
            <w:vAlign w:val="center"/>
          </w:tcPr>
          <w:p>
            <w:pPr>
              <w:spacing w:after="0" w:before="0" w:line="240" w:lineRule="auto"/>
            </w:pPr>
            <w:r>
              <w:rPr>
                <w:b/>
                <w:color w:val="000000"/>
                <w:sz w:val="18"/>
              </w:rPr>
              <w:t xml:space="preserve">Today</w:t>
            </w:r>
          </w:p>
        </w:tc>
        <w:tc>
          <w:tcPr>
            <w:tcW w:type="dxa" w:w="3024"/>
            <w:shd w:val="clear" w:color="auto" w:fill="DCE6F1"/>
            <w:vAlign w:val="center"/>
          </w:tcPr>
          <w:p>
            <w:pPr>
              <w:spacing w:after="0" w:before="0" w:line="240" w:lineRule="auto"/>
            </w:pPr>
            <w:r>
              <w:rPr>
                <w:b/>
                <w:color w:val="000000"/>
                <w:sz w:val="18"/>
              </w:rPr>
              <w:t xml:space="preserve">Recommended (target)</w:t>
            </w:r>
          </w:p>
        </w:tc>
      </w:tr>
      <w:tr>
        <w:trPr>
          <w:cantSplit/>
        </w:trPr>
        <w:tc>
          <w:tcPr>
            <w:tcW w:type="dxa" w:w="4200"/>
            <w:vAlign w:val="center"/>
          </w:tcPr>
          <w:p>
            <w:pPr>
              <w:spacing w:after="0" w:before="0" w:line="240" w:lineRule="auto"/>
            </w:pPr>
            <w:r>
              <w:rPr>
                <w:b/>
                <w:color w:val="000000"/>
                <w:sz w:val="18"/>
              </w:rPr>
              <w:t xml:space="preserve">Close signed off</w:t>
            </w:r>
          </w:p>
        </w:tc>
        <w:tc>
          <w:tcPr>
            <w:tcW w:type="dxa" w:w="3000"/>
            <w:vAlign w:val="center"/>
          </w:tcPr>
          <w:p>
            <w:pPr>
              <w:spacing w:after="0" w:before="0" w:line="240" w:lineRule="auto"/>
            </w:pPr>
            <w:r>
              <w:rPr>
                <w:color w:val="000000"/>
                <w:sz w:val="18"/>
              </w:rPr>
              <w:t xml:space="preserve">Working day 7 (actual; the simulation predicts it)</w:t>
            </w:r>
          </w:p>
        </w:tc>
        <w:tc>
          <w:tcPr>
            <w:tcW w:type="dxa" w:w="3024"/>
            <w:vAlign w:val="center"/>
          </w:tcPr>
          <w:p>
            <w:pPr>
              <w:spacing w:after="0" w:before="0" w:line="240" w:lineRule="auto"/>
            </w:pPr>
            <w:r>
              <w:rPr>
                <w:color w:val="000000"/>
                <w:sz w:val="18"/>
              </w:rPr>
              <w:t xml:space="preserve">Produced by the simulation; target </w:t>
            </w:r>
            <w:r>
              <w:rPr>
                <w:color w:val="000000"/>
                <w:sz w:val="18"/>
                <w:highlight w:val="yellow"/>
              </w:rPr>
              <w:t xml:space="preserve">[5]</w:t>
            </w:r>
            <w:r>
              <w:rPr>
                <w:color w:val="000000"/>
                <w:sz w:val="18"/>
              </w:rPr>
              <w:t xml:space="preserve"> for comparison</w:t>
            </w:r>
          </w:p>
        </w:tc>
      </w:tr>
      <w:tr>
        <w:trPr>
          <w:cantSplit/>
        </w:trPr>
        <w:tc>
          <w:tcPr>
            <w:tcW w:type="dxa" w:w="4200"/>
            <w:vAlign w:val="center"/>
          </w:tcPr>
          <w:p>
            <w:pPr>
              <w:spacing w:after="0" w:before="0" w:line="240" w:lineRule="auto"/>
            </w:pPr>
            <w:r>
              <w:rPr>
                <w:b/>
                <w:color w:val="000000"/>
                <w:sz w:val="18"/>
              </w:rPr>
              <w:t xml:space="preserve">Management pack issued</w:t>
            </w:r>
          </w:p>
        </w:tc>
        <w:tc>
          <w:tcPr>
            <w:tcW w:type="dxa" w:w="3000"/>
            <w:vAlign w:val="center"/>
          </w:tcPr>
          <w:p>
            <w:pPr>
              <w:spacing w:after="0" w:before="0" w:line="240" w:lineRule="auto"/>
            </w:pPr>
            <w:r>
              <w:rPr>
                <w:color w:val="000000"/>
                <w:sz w:val="18"/>
              </w:rPr>
              <w:t xml:space="preserve">Working day 10 (actual; the simulation predicts it)</w:t>
            </w:r>
          </w:p>
        </w:tc>
        <w:tc>
          <w:tcPr>
            <w:tcW w:type="dxa" w:w="3024"/>
            <w:vAlign w:val="center"/>
          </w:tcPr>
          <w:p>
            <w:pPr>
              <w:spacing w:after="0" w:before="0" w:line="240" w:lineRule="auto"/>
            </w:pPr>
            <w:r>
              <w:rPr>
                <w:color w:val="000000"/>
                <w:sz w:val="18"/>
              </w:rPr>
              <w:t xml:space="preserve">Produced by the simulation; target </w:t>
            </w:r>
            <w:r>
              <w:rPr>
                <w:color w:val="000000"/>
                <w:sz w:val="18"/>
                <w:highlight w:val="yellow"/>
              </w:rPr>
              <w:t xml:space="preserve">[8]</w:t>
            </w:r>
            <w:r>
              <w:rPr>
                <w:color w:val="000000"/>
                <w:sz w:val="18"/>
              </w:rPr>
              <w:t xml:space="preserve"> for comparison</w:t>
            </w:r>
          </w:p>
        </w:tc>
      </w:tr>
      <w:tr>
        <w:trPr>
          <w:cantSplit/>
        </w:trPr>
        <w:tc>
          <w:tcPr>
            <w:tcW w:type="dxa" w:w="4200"/>
            <w:vAlign w:val="center"/>
          </w:tcPr>
          <w:p>
            <w:pPr>
              <w:spacing w:after="0" w:before="0" w:line="240" w:lineRule="auto"/>
            </w:pPr>
            <w:r>
              <w:rPr>
                <w:b/>
                <w:color w:val="000000"/>
                <w:sz w:val="18"/>
              </w:rPr>
              <w:t xml:space="preserve">Quarter-end work (VAT, reforecast, board pack, tax provision, access review)</w:t>
            </w:r>
          </w:p>
        </w:tc>
        <w:tc>
          <w:tcPr>
            <w:tcW w:type="dxa" w:w="3000"/>
            <w:vAlign w:val="center"/>
          </w:tcPr>
          <w:p>
            <w:pPr>
              <w:spacing w:after="0" w:before="0" w:line="240" w:lineRule="auto"/>
            </w:pPr>
            <w:r>
              <w:rPr>
                <w:color w:val="000000"/>
                <w:sz w:val="18"/>
              </w:rPr>
              <w:t xml:space="preserve">Month after each quarter end</w:t>
            </w:r>
          </w:p>
        </w:tc>
        <w:tc>
          <w:tcPr>
            <w:tcW w:type="dxa" w:w="3024"/>
            <w:vAlign w:val="center"/>
          </w:tcPr>
          <w:p>
            <w:pPr>
              <w:spacing w:after="0" w:before="0" w:line="240" w:lineRule="auto"/>
            </w:pPr>
            <w:r>
              <w:rPr>
                <w:color w:val="000000"/>
                <w:sz w:val="18"/>
              </w:rPr>
              <w:t xml:space="preserve">Same</w:t>
            </w:r>
          </w:p>
        </w:tc>
      </w:tr>
      <w:tr>
        <w:trPr>
          <w:cantSplit/>
        </w:trPr>
        <w:tc>
          <w:tcPr>
            <w:tcW w:type="dxa" w:w="4200"/>
            <w:vAlign w:val="center"/>
          </w:tcPr>
          <w:p>
            <w:pPr>
              <w:spacing w:after="0" w:before="0" w:line="240" w:lineRule="auto"/>
            </w:pPr>
            <w:r>
              <w:rPr>
                <w:b/>
                <w:color w:val="000000"/>
                <w:sz w:val="18"/>
              </w:rPr>
              <w:t xml:space="preserve">Year-end close, statutory accounts and audit</w:t>
            </w:r>
          </w:p>
        </w:tc>
        <w:tc>
          <w:tcPr>
            <w:tcW w:type="dxa" w:w="3000"/>
            <w:vAlign w:val="center"/>
          </w:tcPr>
          <w:p>
            <w:pPr>
              <w:spacing w:after="0" w:before="0" w:line="240" w:lineRule="auto"/>
            </w:pPr>
            <w:r>
              <w:rPr>
                <w:color w:val="000000"/>
                <w:sz w:val="18"/>
              </w:rPr>
              <w:t xml:space="preserve">Month after the financial year end</w:t>
            </w:r>
          </w:p>
        </w:tc>
        <w:tc>
          <w:tcPr>
            <w:tcW w:type="dxa" w:w="3024"/>
            <w:vAlign w:val="center"/>
          </w:tcPr>
          <w:p>
            <w:pPr>
              <w:spacing w:after="0" w:before="0" w:line="240" w:lineRule="auto"/>
            </w:pPr>
            <w:r>
              <w:rPr>
                <w:color w:val="000000"/>
                <w:sz w:val="18"/>
              </w:rPr>
              <w:t xml:space="preserve">Same</w:t>
            </w:r>
          </w:p>
        </w:tc>
      </w:tr>
      <w:tr>
        <w:trPr>
          <w:cantSplit/>
        </w:trPr>
        <w:tc>
          <w:tcPr>
            <w:tcW w:type="dxa" w:w="4200"/>
            <w:vAlign w:val="center"/>
          </w:tcPr>
          <w:p>
            <w:pPr>
              <w:spacing w:after="0" w:before="0" w:line="240" w:lineRule="auto"/>
            </w:pPr>
            <w:r>
              <w:rPr>
                <w:b/>
                <w:color w:val="000000"/>
                <w:sz w:val="18"/>
              </w:rPr>
              <w:t xml:space="preserve">Annual budget</w:t>
            </w:r>
          </w:p>
        </w:tc>
        <w:tc>
          <w:tcPr>
            <w:tcW w:type="dxa" w:w="3000"/>
            <w:vAlign w:val="center"/>
          </w:tcPr>
          <w:p>
            <w:pPr>
              <w:spacing w:after="0" w:before="0" w:line="240" w:lineRule="auto"/>
            </w:pPr>
            <w:r>
              <w:rPr>
                <w:color w:val="000000"/>
                <w:sz w:val="18"/>
              </w:rPr>
              <w:t xml:space="preserve">Over the three months before year-end; the simulation compresses it into the last month of the year</w:t>
            </w:r>
          </w:p>
        </w:tc>
        <w:tc>
          <w:tcPr>
            <w:tcW w:type="dxa" w:w="3024"/>
            <w:vAlign w:val="center"/>
          </w:tcPr>
          <w:p>
            <w:pPr>
              <w:spacing w:after="0" w:before="0" w:line="240" w:lineRule="auto"/>
            </w:pPr>
            <w:r>
              <w:rPr>
                <w:color w:val="000000"/>
                <w:sz w:val="18"/>
              </w:rPr>
              <w:t xml:space="preserve">Same</w:t>
            </w:r>
          </w:p>
        </w:tc>
      </w:tr>
      <w:tr>
        <w:trPr>
          <w:cantSplit/>
        </w:trPr>
        <w:tc>
          <w:tcPr>
            <w:tcW w:type="dxa" w:w="4200"/>
            <w:vAlign w:val="center"/>
          </w:tcPr>
          <w:p>
            <w:pPr>
              <w:spacing w:after="0" w:before="0" w:line="240" w:lineRule="auto"/>
            </w:pPr>
            <w:r>
              <w:rPr>
                <w:b/>
                <w:color w:val="000000"/>
                <w:sz w:val="18"/>
              </w:rPr>
              <w:t xml:space="preserve">P11Ds, insurance renewal, pension re-enrolment</w:t>
            </w:r>
          </w:p>
        </w:tc>
        <w:tc>
          <w:tcPr>
            <w:tcW w:type="dxa" w:w="3000"/>
            <w:vAlign w:val="center"/>
          </w:tcPr>
          <w:p>
            <w:pPr>
              <w:spacing w:after="0" w:before="0" w:line="240" w:lineRule="auto"/>
            </w:pPr>
            <w:r>
              <w:rPr>
                <w:color w:val="000000"/>
                <w:sz w:val="18"/>
              </w:rPr>
              <w:t xml:space="preserve">July</w:t>
            </w:r>
          </w:p>
        </w:tc>
        <w:tc>
          <w:tcPr>
            <w:tcW w:type="dxa" w:w="3024"/>
            <w:vAlign w:val="center"/>
          </w:tcPr>
          <w:p>
            <w:pPr>
              <w:spacing w:after="0" w:before="0" w:line="240" w:lineRule="auto"/>
            </w:pPr>
            <w:r>
              <w:rPr>
                <w:color w:val="000000"/>
                <w:sz w:val="18"/>
              </w:rPr>
              <w:t xml:space="preserve">Same</w:t>
            </w:r>
          </w:p>
        </w:tc>
      </w:tr>
    </w:tbl>
    <w:p>
      <w:pPr>
        <w:pStyle w:val="Heading2"/>
      </w:pPr>
      <w:r>
        <w:t xml:space="preserve">Agent settings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8"/>
              </w:rPr>
              <w:t xml:space="preserve">Setting</w:t>
            </w:r>
          </w:p>
        </w:tc>
        <w:tc>
          <w:tcPr>
            <w:tcW w:type="dxa" w:w="3000"/>
            <w:shd w:val="clear" w:color="auto" w:fill="DCE6F1"/>
            <w:vAlign w:val="center"/>
          </w:tcPr>
          <w:p>
            <w:pPr>
              <w:spacing w:after="0" w:before="0" w:line="240" w:lineRule="auto"/>
            </w:pPr>
            <w:r>
              <w:rPr>
                <w:b/>
                <w:color w:val="000000"/>
                <w:sz w:val="18"/>
              </w:rPr>
              <w:t xml:space="preserve">Assumed</w:t>
            </w:r>
          </w:p>
        </w:tc>
      </w:tr>
      <w:tr>
        <w:trPr>
          <w:cantSplit/>
        </w:trPr>
        <w:tc>
          <w:tcPr>
            <w:tcW w:type="dxa" w:w="7224"/>
            <w:vAlign w:val="center"/>
          </w:tcPr>
          <w:p>
            <w:pPr>
              <w:spacing w:after="0" w:before="0" w:line="240" w:lineRule="auto"/>
            </w:pPr>
            <w:r>
              <w:rPr>
                <w:b/>
                <w:color w:val="000000"/>
                <w:sz w:val="18"/>
              </w:rPr>
              <w:t xml:space="preserve">Agent proposals accepted on review (%)</w:t>
            </w:r>
          </w:p>
        </w:tc>
        <w:tc>
          <w:tcPr>
            <w:tcW w:type="dxa" w:w="3000"/>
            <w:vAlign w:val="center"/>
          </w:tcPr>
          <w:p>
            <w:pPr>
              <w:spacing w:after="0" w:before="0" w:line="240" w:lineRule="auto"/>
            </w:pPr>
            <w:r>
              <w:rPr>
                <w:color w:val="000000"/>
                <w:sz w:val="18"/>
                <w:highlight w:val="yellow"/>
              </w:rPr>
              <w:t xml:space="preserve">[75]</w:t>
            </w:r>
          </w:p>
        </w:tc>
      </w:tr>
      <w:tr>
        <w:trPr>
          <w:cantSplit/>
        </w:trPr>
        <w:tc>
          <w:tcPr>
            <w:tcW w:type="dxa" w:w="7224"/>
            <w:vAlign w:val="center"/>
          </w:tcPr>
          <w:p>
            <w:pPr>
              <w:spacing w:after="0" w:before="0" w:line="240" w:lineRule="auto"/>
            </w:pPr>
            <w:r>
              <w:rPr>
                <w:b/>
                <w:color w:val="000000"/>
                <w:sz w:val="18"/>
              </w:rPr>
              <w:t xml:space="preserve">Invoice exceptions below the review threshold (%)</w:t>
            </w:r>
          </w:p>
        </w:tc>
        <w:tc>
          <w:tcPr>
            <w:tcW w:type="dxa" w:w="3000"/>
            <w:vAlign w:val="center"/>
          </w:tcPr>
          <w:p>
            <w:pPr>
              <w:spacing w:after="0" w:before="0" w:line="240" w:lineRule="auto"/>
            </w:pPr>
            <w:r>
              <w:rPr>
                <w:color w:val="000000"/>
                <w:sz w:val="18"/>
                <w:highlight w:val="yellow"/>
              </w:rPr>
              <w:t xml:space="preserve">[60]</w:t>
            </w:r>
          </w:p>
        </w:tc>
      </w:tr>
      <w:tr>
        <w:trPr>
          <w:cantSplit/>
        </w:trPr>
        <w:tc>
          <w:tcPr>
            <w:tcW w:type="dxa" w:w="7224"/>
            <w:vAlign w:val="center"/>
          </w:tcPr>
          <w:p>
            <w:pPr>
              <w:spacing w:after="0" w:before="0" w:line="240" w:lineRule="auto"/>
            </w:pPr>
            <w:r>
              <w:rPr>
                <w:b/>
                <w:color w:val="000000"/>
                <w:sz w:val="18"/>
              </w:rPr>
              <w:t xml:space="preserve">Low-value items sample-checked (%)</w:t>
            </w:r>
          </w:p>
        </w:tc>
        <w:tc>
          <w:tcPr>
            <w:tcW w:type="dxa" w:w="3000"/>
            <w:vAlign w:val="center"/>
          </w:tcPr>
          <w:p>
            <w:pPr>
              <w:spacing w:after="0" w:before="0" w:line="240" w:lineRule="auto"/>
            </w:pPr>
            <w:r>
              <w:rPr>
                <w:color w:val="000000"/>
                <w:sz w:val="18"/>
                <w:highlight w:val="yellow"/>
              </w:rPr>
              <w:t xml:space="preserve">[20]</w:t>
            </w:r>
          </w:p>
        </w:tc>
      </w:tr>
      <w:tr>
        <w:trPr>
          <w:cantSplit/>
        </w:trPr>
        <w:tc>
          <w:tcPr>
            <w:tcW w:type="dxa" w:w="7224"/>
            <w:vAlign w:val="center"/>
          </w:tcPr>
          <w:p>
            <w:pPr>
              <w:spacing w:after="0" w:before="0" w:line="240" w:lineRule="auto"/>
            </w:pPr>
            <w:r>
              <w:rPr>
                <w:b/>
                <w:color w:val="000000"/>
                <w:sz w:val="18"/>
              </w:rPr>
              <w:t xml:space="preserve">Agent processing time per item per step (minutes)</w:t>
            </w:r>
          </w:p>
        </w:tc>
        <w:tc>
          <w:tcPr>
            <w:tcW w:type="dxa" w:w="3000"/>
            <w:vAlign w:val="center"/>
          </w:tcPr>
          <w:p>
            <w:pPr>
              <w:spacing w:after="0" w:before="0" w:line="240" w:lineRule="auto"/>
            </w:pPr>
            <w:r>
              <w:rPr>
                <w:color w:val="000000"/>
                <w:sz w:val="18"/>
                <w:highlight w:val="yellow"/>
              </w:rPr>
              <w:t xml:space="preserve">[2]</w:t>
            </w:r>
          </w:p>
        </w:tc>
      </w:tr>
      <w:tr>
        <w:trPr>
          <w:cantSplit/>
        </w:trPr>
        <w:tc>
          <w:tcPr>
            <w:tcW w:type="dxa" w:w="7224"/>
            <w:vAlign w:val="center"/>
          </w:tcPr>
          <w:p>
            <w:pPr>
              <w:spacing w:after="0" w:before="0" w:line="240" w:lineRule="auto"/>
            </w:pPr>
            <w:r>
              <w:rPr>
                <w:b/>
                <w:color w:val="000000"/>
                <w:sz w:val="18"/>
              </w:rPr>
              <w:t xml:space="preserve">Runs each agent can do at the same time (per agent, not shared)</w:t>
            </w:r>
          </w:p>
        </w:tc>
        <w:tc>
          <w:tcPr>
            <w:tcW w:type="dxa" w:w="3000"/>
            <w:vAlign w:val="center"/>
          </w:tcPr>
          <w:p>
            <w:pPr>
              <w:spacing w:after="0" w:before="0" w:line="240" w:lineRule="auto"/>
            </w:pPr>
            <w:r>
              <w:rPr>
                <w:color w:val="000000"/>
                <w:sz w:val="18"/>
                <w:highlight w:val="yellow"/>
              </w:rPr>
              <w:t xml:space="preserve">[10]</w:t>
            </w:r>
          </w:p>
        </w:tc>
      </w:tr>
      <w:tr>
        <w:trPr>
          <w:cantSplit/>
        </w:trPr>
        <w:tc>
          <w:tcPr>
            <w:tcW w:type="dxa" w:w="7224"/>
            <w:vAlign w:val="center"/>
          </w:tcPr>
          <w:p>
            <w:pPr>
              <w:spacing w:after="0" w:before="0" w:line="240" w:lineRule="auto"/>
            </w:pPr>
            <w:r>
              <w:rPr>
                <w:b/>
                <w:color w:val="000000"/>
                <w:sz w:val="18"/>
              </w:rPr>
              <w:t xml:space="preserve">Actual close day today (for the model check)</w:t>
            </w:r>
          </w:p>
        </w:tc>
        <w:tc>
          <w:tcPr>
            <w:tcW w:type="dxa" w:w="3000"/>
            <w:vAlign w:val="center"/>
          </w:tcPr>
          <w:p>
            <w:pPr>
              <w:spacing w:after="0" w:before="0" w:line="240" w:lineRule="auto"/>
            </w:pPr>
            <w:r>
              <w:rPr>
                <w:color w:val="000000"/>
                <w:sz w:val="18"/>
                <w:highlight w:val="yellow"/>
              </w:rPr>
              <w:t xml:space="preserve">[7]</w:t>
            </w:r>
          </w:p>
        </w:tc>
      </w:tr>
      <w:tr>
        <w:trPr>
          <w:cantSplit/>
        </w:trPr>
        <w:tc>
          <w:tcPr>
            <w:tcW w:type="dxa" w:w="7224"/>
            <w:vAlign w:val="center"/>
          </w:tcPr>
          <w:p>
            <w:pPr>
              <w:spacing w:after="0" w:before="0" w:line="240" w:lineRule="auto"/>
            </w:pPr>
            <w:r>
              <w:rPr>
                <w:b/>
                <w:color w:val="000000"/>
                <w:sz w:val="18"/>
              </w:rPr>
              <w:t xml:space="preserve">Actual pack issue day today (for the model check)</w:t>
            </w:r>
          </w:p>
        </w:tc>
        <w:tc>
          <w:tcPr>
            <w:tcW w:type="dxa" w:w="3000"/>
            <w:vAlign w:val="center"/>
          </w:tcPr>
          <w:p>
            <w:pPr>
              <w:spacing w:after="0" w:before="0" w:line="240" w:lineRule="auto"/>
            </w:pPr>
            <w:r>
              <w:rPr>
                <w:color w:val="000000"/>
                <w:sz w:val="18"/>
                <w:highlight w:val="yellow"/>
              </w:rPr>
              <w:t xml:space="preserve">[10]</w:t>
            </w:r>
          </w:p>
        </w:tc>
      </w:tr>
    </w:tbl>
    <w:p>
      <w:pPr>
        <w:pStyle w:val="Title"/>
        <w:pageBreakBefore/>
      </w:pPr>
      <w:r>
        <w:t>CFO office process guide</w:t>
      </w:r>
    </w:p>
    <w:p>
      <w:pPr>
        <w:pStyle w:val="Heading1"/>
      </w:pPr>
      <w:r>
        <w:t xml:space="preserve">Assumed monthly volumes</w:t>
      </w:r>
    </w:p>
    <w:p>
      <w:pPr>
        <w:spacing w:after="100"/>
      </w:pPr>
      <w:r>
        <w:t xml:space="preserve">Volumes used in the simulation. Settings marked 1 = yes switch optional work on.</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700"/>
        <w:gridCol w:w="1000"/>
        <w:gridCol w:w="4000"/>
        <w:gridCol w:w="1524"/>
      </w:tblGrid>
      <w:tr>
        <w:trPr>
          <w:tblHeader/>
        </w:trPr>
        <w:tc>
          <w:tcPr>
            <w:tcW w:type="dxa" w:w="3700"/>
            <w:shd w:val="clear" w:color="auto" w:fill="DCE6F1"/>
            <w:vAlign w:val="center"/>
          </w:tcPr>
          <w:p>
            <w:pPr>
              <w:spacing w:after="0" w:before="0" w:line="240" w:lineRule="auto"/>
            </w:pPr>
            <w:r>
              <w:rPr>
                <w:b/>
                <w:color w:val="000000"/>
                <w:sz w:val="17"/>
              </w:rPr>
              <w:t xml:space="preserve">Volume</w:t>
            </w:r>
          </w:p>
        </w:tc>
        <w:tc>
          <w:tcPr>
            <w:tcW w:type="dxa" w:w="1000"/>
            <w:shd w:val="clear" w:color="auto" w:fill="DCE6F1"/>
            <w:vAlign w:val="center"/>
          </w:tcPr>
          <w:p>
            <w:pPr>
              <w:spacing w:after="0" w:before="0" w:line="240" w:lineRule="auto"/>
            </w:pPr>
            <w:r>
              <w:rPr>
                <w:b/>
                <w:color w:val="000000"/>
                <w:sz w:val="17"/>
              </w:rPr>
              <w:t xml:space="preserve">Assumed</w:t>
            </w:r>
          </w:p>
        </w:tc>
        <w:tc>
          <w:tcPr>
            <w:tcW w:type="dxa" w:w="4000"/>
            <w:shd w:val="clear" w:color="auto" w:fill="DCE6F1"/>
            <w:vAlign w:val="center"/>
          </w:tcPr>
          <w:p>
            <w:pPr>
              <w:spacing w:after="0" w:before="0" w:line="240" w:lineRule="auto"/>
            </w:pPr>
            <w:r>
              <w:rPr>
                <w:b/>
                <w:color w:val="000000"/>
                <w:sz w:val="17"/>
              </w:rPr>
              <w:t xml:space="preserve">Volume</w:t>
            </w:r>
          </w:p>
        </w:tc>
        <w:tc>
          <w:tcPr>
            <w:tcW w:type="dxa" w:w="1524"/>
            <w:shd w:val="clear" w:color="auto" w:fill="DCE6F1"/>
            <w:vAlign w:val="center"/>
          </w:tcPr>
          <w:p>
            <w:pPr>
              <w:spacing w:after="0" w:before="0" w:line="240" w:lineRule="auto"/>
            </w:pPr>
            <w:r>
              <w:rPr>
                <w:b/>
                <w:color w:val="000000"/>
                <w:sz w:val="17"/>
              </w:rPr>
              <w:t xml:space="preserve">Assumed</w:t>
            </w:r>
          </w:p>
        </w:tc>
      </w:tr>
      <w:tr>
        <w:trPr>
          <w:cantSplit/>
        </w:trPr>
        <w:tc>
          <w:tcPr>
            <w:tcW w:type="dxa" w:w="3700"/>
            <w:vAlign w:val="center"/>
          </w:tcPr>
          <w:p>
            <w:pPr>
              <w:spacing w:after="0" w:before="0" w:line="240" w:lineRule="auto"/>
            </w:pPr>
            <w:r>
              <w:rPr>
                <w:color w:val="000000"/>
                <w:sz w:val="17"/>
              </w:rPr>
              <w:t xml:space="preserve">Supplier invoices a month</w:t>
            </w:r>
          </w:p>
        </w:tc>
        <w:tc>
          <w:tcPr>
            <w:tcW w:type="dxa" w:w="1000"/>
            <w:vAlign w:val="center"/>
          </w:tcPr>
          <w:p>
            <w:pPr>
              <w:spacing w:after="0" w:before="0" w:line="240" w:lineRule="auto"/>
            </w:pPr>
            <w:r>
              <w:rPr>
                <w:color w:val="000000"/>
                <w:sz w:val="17"/>
                <w:highlight w:val="yellow"/>
              </w:rPr>
              <w:t xml:space="preserve">[600]</w:t>
            </w:r>
          </w:p>
        </w:tc>
        <w:tc>
          <w:tcPr>
            <w:tcW w:type="dxa" w:w="4000"/>
            <w:vAlign w:val="center"/>
          </w:tcPr>
          <w:p>
            <w:pPr>
              <w:spacing w:after="0" w:before="0" w:line="240" w:lineRule="auto"/>
            </w:pPr>
            <w:r>
              <w:rPr>
                <w:color w:val="000000"/>
                <w:sz w:val="17"/>
              </w:rPr>
              <w:t xml:space="preserve">PAYE settlement agreement (1 if you have one, 0 if not)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Invoices the OCR cannot read (%)</w:t>
            </w:r>
          </w:p>
        </w:tc>
        <w:tc>
          <w:tcPr>
            <w:tcW w:type="dxa" w:w="1000"/>
            <w:vAlign w:val="center"/>
          </w:tcPr>
          <w:p>
            <w:pPr>
              <w:spacing w:after="0" w:before="0" w:line="240" w:lineRule="auto"/>
            </w:pPr>
            <w:r>
              <w:rPr>
                <w:color w:val="000000"/>
                <w:sz w:val="17"/>
                <w:highlight w:val="yellow"/>
              </w:rPr>
              <w:t xml:space="preserve">[10]</w:t>
            </w:r>
          </w:p>
        </w:tc>
        <w:tc>
          <w:tcPr>
            <w:tcW w:type="dxa" w:w="4000"/>
            <w:vAlign w:val="center"/>
          </w:tcPr>
          <w:p>
            <w:pPr>
              <w:spacing w:after="0" w:before="0" w:line="240" w:lineRule="auto"/>
            </w:pPr>
            <w:r>
              <w:rPr>
                <w:color w:val="000000"/>
                <w:sz w:val="17"/>
              </w:rPr>
              <w:t xml:space="preserve">Business partnering meetings a month</w:t>
            </w:r>
          </w:p>
        </w:tc>
        <w:tc>
          <w:tcPr>
            <w:tcW w:type="dxa" w:w="1524"/>
            <w:vAlign w:val="center"/>
          </w:tcPr>
          <w:p>
            <w:pPr>
              <w:spacing w:after="0" w:before="0" w:line="240" w:lineRule="auto"/>
            </w:pPr>
            <w:r>
              <w:rPr>
                <w:color w:val="000000"/>
                <w:sz w:val="17"/>
                <w:highlight w:val="yellow"/>
              </w:rPr>
              <w:t xml:space="preserve">[12]</w:t>
            </w:r>
          </w:p>
        </w:tc>
      </w:tr>
      <w:tr>
        <w:trPr>
          <w:cantSplit/>
        </w:trPr>
        <w:tc>
          <w:tcPr>
            <w:tcW w:type="dxa" w:w="3700"/>
            <w:vAlign w:val="center"/>
          </w:tcPr>
          <w:p>
            <w:pPr>
              <w:spacing w:after="0" w:before="0" w:line="240" w:lineRule="auto"/>
            </w:pPr>
            <w:r>
              <w:rPr>
                <w:color w:val="000000"/>
                <w:sz w:val="17"/>
              </w:rPr>
              <w:t xml:space="preserve">Supplier invoices cleared by matching (%)</w:t>
            </w:r>
          </w:p>
        </w:tc>
        <w:tc>
          <w:tcPr>
            <w:tcW w:type="dxa" w:w="1000"/>
            <w:vAlign w:val="center"/>
          </w:tcPr>
          <w:p>
            <w:pPr>
              <w:spacing w:after="0" w:before="0" w:line="240" w:lineRule="auto"/>
            </w:pPr>
            <w:r>
              <w:rPr>
                <w:color w:val="000000"/>
                <w:sz w:val="17"/>
                <w:highlight w:val="yellow"/>
              </w:rPr>
              <w:t xml:space="preserve">[80]</w:t>
            </w:r>
          </w:p>
        </w:tc>
        <w:tc>
          <w:tcPr>
            <w:tcW w:type="dxa" w:w="4000"/>
            <w:vAlign w:val="center"/>
          </w:tcPr>
          <w:p>
            <w:pPr>
              <w:spacing w:after="0" w:before="0" w:line="240" w:lineRule="auto"/>
            </w:pPr>
            <w:r>
              <w:rPr>
                <w:color w:val="000000"/>
                <w:sz w:val="17"/>
              </w:rPr>
              <w:t xml:space="preserve">Ad hoc analysis requests a month</w:t>
            </w:r>
          </w:p>
        </w:tc>
        <w:tc>
          <w:tcPr>
            <w:tcW w:type="dxa" w:w="1524"/>
            <w:vAlign w:val="center"/>
          </w:tcPr>
          <w:p>
            <w:pPr>
              <w:spacing w:after="0" w:before="0" w:line="240" w:lineRule="auto"/>
            </w:pPr>
            <w:r>
              <w:rPr>
                <w:color w:val="000000"/>
                <w:sz w:val="17"/>
                <w:highlight w:val="yellow"/>
              </w:rPr>
              <w:t xml:space="preserve">[6]</w:t>
            </w:r>
          </w:p>
        </w:tc>
      </w:tr>
      <w:tr>
        <w:trPr>
          <w:cantSplit/>
        </w:trPr>
        <w:tc>
          <w:tcPr>
            <w:tcW w:type="dxa" w:w="3700"/>
            <w:vAlign w:val="center"/>
          </w:tcPr>
          <w:p>
            <w:pPr>
              <w:spacing w:after="0" w:before="0" w:line="240" w:lineRule="auto"/>
            </w:pPr>
            <w:r>
              <w:rPr>
                <w:color w:val="000000"/>
                <w:sz w:val="17"/>
              </w:rPr>
              <w:t xml:space="preserve">Customer invoices raised</w:t>
            </w:r>
          </w:p>
        </w:tc>
        <w:tc>
          <w:tcPr>
            <w:tcW w:type="dxa" w:w="1000"/>
            <w:vAlign w:val="center"/>
          </w:tcPr>
          <w:p>
            <w:pPr>
              <w:spacing w:after="0" w:before="0" w:line="240" w:lineRule="auto"/>
            </w:pPr>
            <w:r>
              <w:rPr>
                <w:color w:val="000000"/>
                <w:sz w:val="17"/>
                <w:highlight w:val="yellow"/>
              </w:rPr>
              <w:t xml:space="preserve">[300]</w:t>
            </w:r>
          </w:p>
        </w:tc>
        <w:tc>
          <w:tcPr>
            <w:tcW w:type="dxa" w:w="4000"/>
            <w:vAlign w:val="center"/>
          </w:tcPr>
          <w:p>
            <w:pPr>
              <w:spacing w:after="0" w:before="0" w:line="240" w:lineRule="auto"/>
            </w:pPr>
            <w:r>
              <w:rPr>
                <w:color w:val="000000"/>
                <w:sz w:val="17"/>
              </w:rPr>
              <w:t xml:space="preserve">Rolling forecast between reforecasts (1 if used, 0 if not)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Customer receipts</w:t>
            </w:r>
          </w:p>
        </w:tc>
        <w:tc>
          <w:tcPr>
            <w:tcW w:type="dxa" w:w="1000"/>
            <w:vAlign w:val="center"/>
          </w:tcPr>
          <w:p>
            <w:pPr>
              <w:spacing w:after="0" w:before="0" w:line="240" w:lineRule="auto"/>
            </w:pPr>
            <w:r>
              <w:rPr>
                <w:color w:val="000000"/>
                <w:sz w:val="17"/>
                <w:highlight w:val="yellow"/>
              </w:rPr>
              <w:t xml:space="preserve">[280]</w:t>
            </w:r>
          </w:p>
        </w:tc>
        <w:tc>
          <w:tcPr>
            <w:tcW w:type="dxa" w:w="4000"/>
            <w:vAlign w:val="center"/>
          </w:tcPr>
          <w:p>
            <w:pPr>
              <w:spacing w:after="0" w:before="0" w:line="240" w:lineRule="auto"/>
            </w:pPr>
            <w:r>
              <w:rPr>
                <w:color w:val="000000"/>
                <w:sz w:val="17"/>
              </w:rPr>
              <w:t xml:space="preserve">Training sessions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Receipts applied automatically (%)</w:t>
            </w:r>
          </w:p>
        </w:tc>
        <w:tc>
          <w:tcPr>
            <w:tcW w:type="dxa" w:w="1000"/>
            <w:vAlign w:val="center"/>
          </w:tcPr>
          <w:p>
            <w:pPr>
              <w:spacing w:after="0" w:before="0" w:line="240" w:lineRule="auto"/>
            </w:pPr>
            <w:r>
              <w:rPr>
                <w:color w:val="000000"/>
                <w:sz w:val="17"/>
                <w:highlight w:val="yellow"/>
              </w:rPr>
              <w:t xml:space="preserve">[90]</w:t>
            </w:r>
          </w:p>
        </w:tc>
        <w:tc>
          <w:tcPr>
            <w:tcW w:type="dxa" w:w="4000"/>
            <w:vAlign w:val="center"/>
          </w:tcPr>
          <w:p>
            <w:pPr>
              <w:spacing w:after="0" w:before="0" w:line="240" w:lineRule="auto"/>
            </w:pPr>
            <w:r>
              <w:rPr>
                <w:color w:val="000000"/>
                <w:sz w:val="17"/>
              </w:rPr>
              <w:t xml:space="preserve">Performance reviews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Balance-sheet reconciliations</w:t>
            </w:r>
          </w:p>
        </w:tc>
        <w:tc>
          <w:tcPr>
            <w:tcW w:type="dxa" w:w="1000"/>
            <w:vAlign w:val="center"/>
          </w:tcPr>
          <w:p>
            <w:pPr>
              <w:spacing w:after="0" w:before="0" w:line="240" w:lineRule="auto"/>
            </w:pPr>
            <w:r>
              <w:rPr>
                <w:color w:val="000000"/>
                <w:sz w:val="17"/>
                <w:highlight w:val="yellow"/>
              </w:rPr>
              <w:t xml:space="preserve">[40]</w:t>
            </w:r>
          </w:p>
        </w:tc>
        <w:tc>
          <w:tcPr>
            <w:tcW w:type="dxa" w:w="4000"/>
            <w:vAlign w:val="center"/>
          </w:tcPr>
          <w:p>
            <w:pPr>
              <w:spacing w:after="0" w:before="0" w:line="240" w:lineRule="auto"/>
            </w:pPr>
            <w:r>
              <w:rPr>
                <w:color w:val="000000"/>
                <w:sz w:val="17"/>
              </w:rPr>
              <w:t xml:space="preserve">Business queries to the Financial Controller a month</w:t>
            </w:r>
          </w:p>
        </w:tc>
        <w:tc>
          <w:tcPr>
            <w:tcW w:type="dxa" w:w="1524"/>
            <w:vAlign w:val="center"/>
          </w:tcPr>
          <w:p>
            <w:pPr>
              <w:spacing w:after="0" w:before="0" w:line="240" w:lineRule="auto"/>
            </w:pPr>
            <w:r>
              <w:rPr>
                <w:color w:val="000000"/>
                <w:sz w:val="17"/>
                <w:highlight w:val="yellow"/>
              </w:rPr>
              <w:t xml:space="preserve">[15]</w:t>
            </w:r>
          </w:p>
        </w:tc>
      </w:tr>
      <w:tr>
        <w:trPr>
          <w:cantSplit/>
        </w:trPr>
        <w:tc>
          <w:tcPr>
            <w:tcW w:type="dxa" w:w="3700"/>
            <w:vAlign w:val="center"/>
          </w:tcPr>
          <w:p>
            <w:pPr>
              <w:spacing w:after="0" w:before="0" w:line="240" w:lineRule="auto"/>
            </w:pPr>
            <w:r>
              <w:rPr>
                <w:color w:val="000000"/>
                <w:sz w:val="17"/>
              </w:rPr>
              <w:t xml:space="preserve">Reconciliations with a break (%)</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Fraud or control investigations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Accrual and prepayment journals</w:t>
            </w:r>
          </w:p>
        </w:tc>
        <w:tc>
          <w:tcPr>
            <w:tcW w:type="dxa" w:w="1000"/>
            <w:vAlign w:val="center"/>
          </w:tcPr>
          <w:p>
            <w:pPr>
              <w:spacing w:after="0" w:before="0" w:line="240" w:lineRule="auto"/>
            </w:pPr>
            <w:r>
              <w:rPr>
                <w:color w:val="000000"/>
                <w:sz w:val="17"/>
                <w:highlight w:val="yellow"/>
              </w:rPr>
              <w:t xml:space="preserve">[20]</w:t>
            </w:r>
          </w:p>
        </w:tc>
        <w:tc>
          <w:tcPr>
            <w:tcW w:type="dxa" w:w="4000"/>
            <w:vAlign w:val="center"/>
          </w:tcPr>
          <w:p>
            <w:pPr>
              <w:spacing w:after="0" w:before="0" w:line="240" w:lineRule="auto"/>
            </w:pPr>
            <w:r>
              <w:rPr>
                <w:color w:val="000000"/>
                <w:sz w:val="17"/>
              </w:rPr>
              <w:t xml:space="preserve">Contract or legal reviews supported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Variances over £10k and 10%</w:t>
            </w:r>
          </w:p>
        </w:tc>
        <w:tc>
          <w:tcPr>
            <w:tcW w:type="dxa" w:w="1000"/>
            <w:vAlign w:val="center"/>
          </w:tcPr>
          <w:p>
            <w:pPr>
              <w:spacing w:after="0" w:before="0" w:line="240" w:lineRule="auto"/>
            </w:pPr>
            <w:r>
              <w:rPr>
                <w:color w:val="000000"/>
                <w:sz w:val="17"/>
                <w:highlight w:val="yellow"/>
              </w:rPr>
              <w:t xml:space="preserve">[8]</w:t>
            </w:r>
          </w:p>
        </w:tc>
        <w:tc>
          <w:tcPr>
            <w:tcW w:type="dxa" w:w="4000"/>
            <w:vAlign w:val="center"/>
          </w:tcPr>
          <w:p>
            <w:pPr>
              <w:spacing w:after="0" w:before="0" w:line="240" w:lineRule="auto"/>
            </w:pPr>
            <w:r>
              <w:rPr>
                <w:color w:val="000000"/>
                <w:sz w:val="17"/>
              </w:rPr>
              <w:t xml:space="preserve">Company secretarial done in finance (1 if yes, 0 if a company secretary does it)</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Overdue accounts to chase</w:t>
            </w:r>
          </w:p>
        </w:tc>
        <w:tc>
          <w:tcPr>
            <w:tcW w:type="dxa" w:w="1000"/>
            <w:vAlign w:val="center"/>
          </w:tcPr>
          <w:p>
            <w:pPr>
              <w:spacing w:after="0" w:before="0" w:line="240" w:lineRule="auto"/>
            </w:pPr>
            <w:r>
              <w:rPr>
                <w:color w:val="000000"/>
                <w:sz w:val="17"/>
                <w:highlight w:val="yellow"/>
              </w:rPr>
              <w:t xml:space="preserve">[20]</w:t>
            </w:r>
          </w:p>
        </w:tc>
        <w:tc>
          <w:tcPr>
            <w:tcW w:type="dxa" w:w="4000"/>
            <w:vAlign w:val="center"/>
          </w:tcPr>
          <w:p>
            <w:pPr>
              <w:spacing w:after="0" w:before="0" w:line="240" w:lineRule="auto"/>
            </w:pPr>
            <w:r>
              <w:rPr>
                <w:color w:val="000000"/>
                <w:sz w:val="17"/>
              </w:rPr>
              <w:t xml:space="preserve">Commercial negotiations led by the CFO a month</w:t>
            </w:r>
          </w:p>
        </w:tc>
        <w:tc>
          <w:tcPr>
            <w:tcW w:type="dxa" w:w="1524"/>
            <w:vAlign w:val="center"/>
          </w:tcPr>
          <w:p>
            <w:pPr>
              <w:spacing w:after="0" w:before="0" w:line="240" w:lineRule="auto"/>
            </w:pPr>
            <w:r>
              <w:rPr>
                <w:color w:val="000000"/>
                <w:sz w:val="17"/>
                <w:highlight w:val="yellow"/>
              </w:rPr>
              <w:t xml:space="preserve">[3]</w:t>
            </w:r>
          </w:p>
        </w:tc>
      </w:tr>
      <w:tr>
        <w:trPr>
          <w:cantSplit/>
        </w:trPr>
        <w:tc>
          <w:tcPr>
            <w:tcW w:type="dxa" w:w="3700"/>
            <w:vAlign w:val="center"/>
          </w:tcPr>
          <w:p>
            <w:pPr>
              <w:spacing w:after="0" w:before="0" w:line="240" w:lineRule="auto"/>
            </w:pPr>
            <w:r>
              <w:rPr>
                <w:color w:val="000000"/>
                <w:sz w:val="17"/>
              </w:rPr>
              <w:t xml:space="preserve">Key controls evidenced</w:t>
            </w:r>
          </w:p>
        </w:tc>
        <w:tc>
          <w:tcPr>
            <w:tcW w:type="dxa" w:w="1000"/>
            <w:vAlign w:val="center"/>
          </w:tcPr>
          <w:p>
            <w:pPr>
              <w:spacing w:after="0" w:before="0" w:line="240" w:lineRule="auto"/>
            </w:pPr>
            <w:r>
              <w:rPr>
                <w:color w:val="000000"/>
                <w:sz w:val="17"/>
                <w:highlight w:val="yellow"/>
              </w:rPr>
              <w:t xml:space="preserve">[25]</w:t>
            </w:r>
          </w:p>
        </w:tc>
        <w:tc>
          <w:tcPr>
            <w:tcW w:type="dxa" w:w="4000"/>
            <w:vAlign w:val="center"/>
          </w:tcPr>
          <w:p>
            <w:pPr>
              <w:spacing w:after="0" w:before="0" w:line="240" w:lineRule="auto"/>
            </w:pPr>
            <w:r>
              <w:rPr>
                <w:color w:val="000000"/>
                <w:sz w:val="17"/>
              </w:rPr>
              <w:t xml:space="preserve">ESG or sustainability reporting (1 if applicable, 0 if not)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Controls with an evidence gap (%)</w:t>
            </w:r>
          </w:p>
        </w:tc>
        <w:tc>
          <w:tcPr>
            <w:tcW w:type="dxa" w:w="1000"/>
            <w:vAlign w:val="center"/>
          </w:tcPr>
          <w:p>
            <w:pPr>
              <w:spacing w:after="0" w:before="0" w:line="240" w:lineRule="auto"/>
            </w:pPr>
            <w:r>
              <w:rPr>
                <w:color w:val="000000"/>
                <w:sz w:val="17"/>
                <w:highlight w:val="yellow"/>
              </w:rPr>
              <w:t xml:space="preserve">[12]</w:t>
            </w:r>
          </w:p>
        </w:tc>
        <w:tc>
          <w:tcPr>
            <w:tcW w:type="dxa" w:w="4000"/>
            <w:vAlign w:val="center"/>
          </w:tcPr>
          <w:p>
            <w:pPr>
              <w:spacing w:after="0" w:before="0" w:line="240" w:lineRule="auto"/>
            </w:pPr>
            <w:r>
              <w:rPr>
                <w:color w:val="000000"/>
                <w:sz w:val="17"/>
              </w:rPr>
              <w:t xml:space="preserve">Requests from the CEO a month</w:t>
            </w:r>
          </w:p>
        </w:tc>
        <w:tc>
          <w:tcPr>
            <w:tcW w:type="dxa" w:w="1524"/>
            <w:vAlign w:val="center"/>
          </w:tcPr>
          <w:p>
            <w:pPr>
              <w:spacing w:after="0" w:before="0" w:line="240" w:lineRule="auto"/>
            </w:pPr>
            <w:r>
              <w:rPr>
                <w:color w:val="000000"/>
                <w:sz w:val="17"/>
                <w:highlight w:val="yellow"/>
              </w:rPr>
              <w:t xml:space="preserve">[8]</w:t>
            </w:r>
          </w:p>
        </w:tc>
      </w:tr>
      <w:tr>
        <w:trPr>
          <w:cantSplit/>
        </w:trPr>
        <w:tc>
          <w:tcPr>
            <w:tcW w:type="dxa" w:w="3700"/>
            <w:vAlign w:val="center"/>
          </w:tcPr>
          <w:p>
            <w:pPr>
              <w:spacing w:after="0" w:before="0" w:line="240" w:lineRule="auto"/>
            </w:pPr>
            <w:r>
              <w:rPr>
                <w:color w:val="000000"/>
                <w:sz w:val="17"/>
              </w:rPr>
              <w:t xml:space="preserve">Business cases</w:t>
            </w:r>
          </w:p>
        </w:tc>
        <w:tc>
          <w:tcPr>
            <w:tcW w:type="dxa" w:w="1000"/>
            <w:vAlign w:val="center"/>
          </w:tcPr>
          <w:p>
            <w:pPr>
              <w:spacing w:after="0" w:before="0" w:line="240" w:lineRule="auto"/>
            </w:pPr>
            <w:r>
              <w:rPr>
                <w:color w:val="000000"/>
                <w:sz w:val="17"/>
                <w:highlight w:val="yellow"/>
              </w:rPr>
              <w:t xml:space="preserve">[1]</w:t>
            </w:r>
          </w:p>
        </w:tc>
        <w:tc>
          <w:tcPr>
            <w:tcW w:type="dxa" w:w="4000"/>
            <w:vAlign w:val="center"/>
          </w:tcPr>
          <w:p>
            <w:pPr>
              <w:spacing w:after="0" w:before="0" w:line="240" w:lineRule="auto"/>
            </w:pPr>
            <w:r>
              <w:rPr>
                <w:color w:val="000000"/>
                <w:sz w:val="17"/>
              </w:rPr>
              <w:t xml:space="preserve">Reconciliations that are high-risk (%)</w:t>
            </w:r>
          </w:p>
        </w:tc>
        <w:tc>
          <w:tcPr>
            <w:tcW w:type="dxa" w:w="1524"/>
            <w:vAlign w:val="center"/>
          </w:tcPr>
          <w:p>
            <w:pPr>
              <w:spacing w:after="0" w:before="0" w:line="240" w:lineRule="auto"/>
            </w:pPr>
            <w:r>
              <w:rPr>
                <w:color w:val="000000"/>
                <w:sz w:val="17"/>
                <w:highlight w:val="yellow"/>
              </w:rPr>
              <w:t xml:space="preserve">[30]</w:t>
            </w:r>
          </w:p>
        </w:tc>
      </w:tr>
      <w:tr>
        <w:trPr>
          <w:cantSplit/>
        </w:trPr>
        <w:tc>
          <w:tcPr>
            <w:tcW w:type="dxa" w:w="3700"/>
            <w:vAlign w:val="center"/>
          </w:tcPr>
          <w:p>
            <w:pPr>
              <w:spacing w:after="0" w:before="0" w:line="240" w:lineRule="auto"/>
            </w:pPr>
            <w:r>
              <w:rPr>
                <w:color w:val="000000"/>
                <w:sz w:val="17"/>
              </w:rPr>
              <w:t xml:space="preserve">Supplier and customer set-ups and changes</w:t>
            </w:r>
          </w:p>
        </w:tc>
        <w:tc>
          <w:tcPr>
            <w:tcW w:type="dxa" w:w="1000"/>
            <w:vAlign w:val="center"/>
          </w:tcPr>
          <w:p>
            <w:pPr>
              <w:spacing w:after="0" w:before="0" w:line="240" w:lineRule="auto"/>
            </w:pPr>
            <w:r>
              <w:rPr>
                <w:color w:val="000000"/>
                <w:sz w:val="17"/>
                <w:highlight w:val="yellow"/>
              </w:rPr>
              <w:t xml:space="preserve">[20]</w:t>
            </w:r>
          </w:p>
        </w:tc>
        <w:tc>
          <w:tcPr>
            <w:tcW w:type="dxa" w:w="4000"/>
            <w:vAlign w:val="center"/>
          </w:tcPr>
          <w:p>
            <w:pPr>
              <w:spacing w:after="0" w:before="0" w:line="240" w:lineRule="auto"/>
            </w:pPr>
            <w:r>
              <w:rPr>
                <w:color w:val="000000"/>
                <w:sz w:val="17"/>
              </w:rPr>
              <w:t xml:space="preserve">New contractors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Supplier bank-detail changes</w:t>
            </w:r>
          </w:p>
        </w:tc>
        <w:tc>
          <w:tcPr>
            <w:tcW w:type="dxa" w:w="1000"/>
            <w:vAlign w:val="center"/>
          </w:tcPr>
          <w:p>
            <w:pPr>
              <w:spacing w:after="0" w:before="0" w:line="240" w:lineRule="auto"/>
            </w:pPr>
            <w:r>
              <w:rPr>
                <w:color w:val="000000"/>
                <w:sz w:val="17"/>
                <w:highlight w:val="yellow"/>
              </w:rPr>
              <w:t xml:space="preserve">[4]</w:t>
            </w:r>
          </w:p>
        </w:tc>
        <w:tc>
          <w:tcPr>
            <w:tcW w:type="dxa" w:w="4000"/>
            <w:vAlign w:val="center"/>
          </w:tcPr>
          <w:p>
            <w:pPr>
              <w:spacing w:after="0" w:before="0" w:line="240" w:lineRule="auto"/>
            </w:pPr>
            <w:r>
              <w:rPr>
                <w:color w:val="000000"/>
                <w:sz w:val="17"/>
              </w:rPr>
              <w:t xml:space="preserve">Dividends declared a quarter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Purchase requisitions</w:t>
            </w:r>
          </w:p>
        </w:tc>
        <w:tc>
          <w:tcPr>
            <w:tcW w:type="dxa" w:w="1000"/>
            <w:vAlign w:val="center"/>
          </w:tcPr>
          <w:p>
            <w:pPr>
              <w:spacing w:after="0" w:before="0" w:line="240" w:lineRule="auto"/>
            </w:pPr>
            <w:r>
              <w:rPr>
                <w:color w:val="000000"/>
                <w:sz w:val="17"/>
                <w:highlight w:val="yellow"/>
              </w:rPr>
              <w:t xml:space="preserve">[120]</w:t>
            </w:r>
          </w:p>
        </w:tc>
        <w:tc>
          <w:tcPr>
            <w:tcW w:type="dxa" w:w="4000"/>
            <w:vAlign w:val="center"/>
          </w:tcPr>
          <w:p>
            <w:pPr>
              <w:spacing w:after="0" w:before="0" w:line="240" w:lineRule="auto"/>
            </w:pPr>
            <w:r>
              <w:rPr>
                <w:color w:val="000000"/>
                <w:sz w:val="17"/>
              </w:rPr>
              <w:t xml:space="preserve">Large-company compliance returns (1 if they apply, 0 if not)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Requisitions over budget (%)</w:t>
            </w:r>
          </w:p>
        </w:tc>
        <w:tc>
          <w:tcPr>
            <w:tcW w:type="dxa" w:w="1000"/>
            <w:vAlign w:val="center"/>
          </w:tcPr>
          <w:p>
            <w:pPr>
              <w:spacing w:after="0" w:before="0" w:line="240" w:lineRule="auto"/>
            </w:pPr>
            <w:r>
              <w:rPr>
                <w:color w:val="000000"/>
                <w:sz w:val="17"/>
                <w:highlight w:val="yellow"/>
              </w:rPr>
              <w:t xml:space="preserve">[10]</w:t>
            </w:r>
          </w:p>
        </w:tc>
        <w:tc>
          <w:tcPr>
            <w:tcW w:type="dxa" w:w="4000"/>
            <w:vAlign w:val="center"/>
          </w:tcPr>
          <w:p>
            <w:pPr>
              <w:spacing w:after="0" w:before="0" w:line="240" w:lineRule="auto"/>
            </w:pPr>
            <w:r>
              <w:rPr>
                <w:color w:val="000000"/>
                <w:sz w:val="17"/>
              </w:rPr>
              <w:t xml:space="preserve">Employee payroll queries to finance a month (0 if the bureau or HR answers them)</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Expense claims</w:t>
            </w:r>
          </w:p>
        </w:tc>
        <w:tc>
          <w:tcPr>
            <w:tcW w:type="dxa" w:w="1000"/>
            <w:vAlign w:val="center"/>
          </w:tcPr>
          <w:p>
            <w:pPr>
              <w:spacing w:after="0" w:before="0" w:line="240" w:lineRule="auto"/>
            </w:pPr>
            <w:r>
              <w:rPr>
                <w:color w:val="000000"/>
                <w:sz w:val="17"/>
                <w:highlight w:val="yellow"/>
              </w:rPr>
              <w:t xml:space="preserve">[80]</w:t>
            </w:r>
          </w:p>
        </w:tc>
        <w:tc>
          <w:tcPr>
            <w:tcW w:type="dxa" w:w="4000"/>
            <w:vAlign w:val="center"/>
          </w:tcPr>
          <w:p>
            <w:pPr>
              <w:spacing w:after="0" w:before="0" w:line="240" w:lineRule="auto"/>
            </w:pPr>
            <w:r>
              <w:rPr>
                <w:color w:val="000000"/>
                <w:sz w:val="17"/>
              </w:rPr>
              <w:t xml:space="preserve">Billing set-ups for new or changed contracts a month</w:t>
            </w:r>
          </w:p>
        </w:tc>
        <w:tc>
          <w:tcPr>
            <w:tcW w:type="dxa" w:w="1524"/>
            <w:vAlign w:val="center"/>
          </w:tcPr>
          <w:p>
            <w:pPr>
              <w:spacing w:after="0" w:before="0" w:line="240" w:lineRule="auto"/>
            </w:pPr>
            <w:r>
              <w:rPr>
                <w:color w:val="000000"/>
                <w:sz w:val="17"/>
                <w:highlight w:val="yellow"/>
              </w:rPr>
              <w:t xml:space="preserve">[6]</w:t>
            </w:r>
          </w:p>
        </w:tc>
      </w:tr>
      <w:tr>
        <w:trPr>
          <w:cantSplit/>
        </w:trPr>
        <w:tc>
          <w:tcPr>
            <w:tcW w:type="dxa" w:w="3700"/>
            <w:vAlign w:val="center"/>
          </w:tcPr>
          <w:p>
            <w:pPr>
              <w:spacing w:after="0" w:before="0" w:line="240" w:lineRule="auto"/>
            </w:pPr>
            <w:r>
              <w:rPr>
                <w:color w:val="000000"/>
                <w:sz w:val="17"/>
              </w:rPr>
              <w:t xml:space="preserve">Claims outside policy (%)</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Customer rebate calculations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Capital items to review</w:t>
            </w:r>
          </w:p>
        </w:tc>
        <w:tc>
          <w:tcPr>
            <w:tcW w:type="dxa" w:w="1000"/>
            <w:vAlign w:val="center"/>
          </w:tcPr>
          <w:p>
            <w:pPr>
              <w:spacing w:after="0" w:before="0" w:line="240" w:lineRule="auto"/>
            </w:pPr>
            <w:r>
              <w:rPr>
                <w:color w:val="000000"/>
                <w:sz w:val="17"/>
                <w:highlight w:val="yellow"/>
              </w:rPr>
              <w:t xml:space="preserve">[8]</w:t>
            </w:r>
          </w:p>
        </w:tc>
        <w:tc>
          <w:tcPr>
            <w:tcW w:type="dxa" w:w="4000"/>
            <w:vAlign w:val="center"/>
          </w:tcPr>
          <w:p>
            <w:pPr>
              <w:spacing w:after="0" w:before="0" w:line="240" w:lineRule="auto"/>
            </w:pPr>
            <w:r>
              <w:rPr>
                <w:color w:val="000000"/>
                <w:sz w:val="17"/>
              </w:rPr>
              <w:t xml:space="preserve">Company card changes a month</w:t>
            </w:r>
          </w:p>
        </w:tc>
        <w:tc>
          <w:tcPr>
            <w:tcW w:type="dxa" w:w="1524"/>
            <w:vAlign w:val="center"/>
          </w:tcPr>
          <w:p>
            <w:pPr>
              <w:spacing w:after="0" w:before="0" w:line="240" w:lineRule="auto"/>
            </w:pPr>
            <w:r>
              <w:rPr>
                <w:color w:val="000000"/>
                <w:sz w:val="17"/>
                <w:highlight w:val="yellow"/>
              </w:rPr>
              <w:t xml:space="preserve">[3]</w:t>
            </w:r>
          </w:p>
        </w:tc>
      </w:tr>
      <w:tr>
        <w:trPr>
          <w:cantSplit/>
        </w:trPr>
        <w:tc>
          <w:tcPr>
            <w:tcW w:type="dxa" w:w="3700"/>
            <w:vAlign w:val="center"/>
          </w:tcPr>
          <w:p>
            <w:pPr>
              <w:spacing w:after="0" w:before="0" w:line="240" w:lineRule="auto"/>
            </w:pPr>
            <w:r>
              <w:rPr>
                <w:color w:val="000000"/>
                <w:sz w:val="17"/>
              </w:rPr>
              <w:t xml:space="preserve">Manual invoices and credit notes</w:t>
            </w:r>
          </w:p>
        </w:tc>
        <w:tc>
          <w:tcPr>
            <w:tcW w:type="dxa" w:w="1000"/>
            <w:vAlign w:val="center"/>
          </w:tcPr>
          <w:p>
            <w:pPr>
              <w:spacing w:after="0" w:before="0" w:line="240" w:lineRule="auto"/>
            </w:pPr>
            <w:r>
              <w:rPr>
                <w:color w:val="000000"/>
                <w:sz w:val="17"/>
                <w:highlight w:val="yellow"/>
              </w:rPr>
              <w:t xml:space="preserve">[25]</w:t>
            </w:r>
          </w:p>
        </w:tc>
        <w:tc>
          <w:tcPr>
            <w:tcW w:type="dxa" w:w="4000"/>
            <w:vAlign w:val="center"/>
          </w:tcPr>
          <w:p>
            <w:pPr>
              <w:spacing w:after="0" w:before="0" w:line="240" w:lineRule="auto"/>
            </w:pPr>
            <w:r>
              <w:rPr>
                <w:color w:val="000000"/>
                <w:sz w:val="17"/>
              </w:rPr>
              <w:t xml:space="preserve">System access changes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New customers to credit-check</w:t>
            </w:r>
          </w:p>
        </w:tc>
        <w:tc>
          <w:tcPr>
            <w:tcW w:type="dxa" w:w="1000"/>
            <w:vAlign w:val="center"/>
          </w:tcPr>
          <w:p>
            <w:pPr>
              <w:spacing w:after="0" w:before="0" w:line="240" w:lineRule="auto"/>
            </w:pPr>
            <w:r>
              <w:rPr>
                <w:color w:val="000000"/>
                <w:sz w:val="17"/>
                <w:highlight w:val="yellow"/>
              </w:rPr>
              <w:t xml:space="preserve">[6]</w:t>
            </w:r>
          </w:p>
        </w:tc>
        <w:tc>
          <w:tcPr>
            <w:tcW w:type="dxa" w:w="4000"/>
            <w:vAlign w:val="center"/>
          </w:tcPr>
          <w:p>
            <w:pPr>
              <w:spacing w:after="0" w:before="0" w:line="240" w:lineRule="auto"/>
            </w:pPr>
            <w:r>
              <w:rPr>
                <w:color w:val="000000"/>
                <w:sz w:val="17"/>
              </w:rPr>
              <w:t xml:space="preserve">Finance vacancies being recruited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Customer disputes and queries</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Property or lease decisions a quarter (0 if none)</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Supplier statements reconciled</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Billing runs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Pricing and deal approvals</w:t>
            </w:r>
          </w:p>
        </w:tc>
        <w:tc>
          <w:tcPr>
            <w:tcW w:type="dxa" w:w="1000"/>
            <w:vAlign w:val="center"/>
          </w:tcPr>
          <w:p>
            <w:pPr>
              <w:spacing w:after="0" w:before="0" w:line="240" w:lineRule="auto"/>
            </w:pPr>
            <w:r>
              <w:rPr>
                <w:color w:val="000000"/>
                <w:sz w:val="17"/>
                <w:highlight w:val="yellow"/>
              </w:rPr>
              <w:t xml:space="preserve">[6]</w:t>
            </w:r>
          </w:p>
        </w:tc>
        <w:tc>
          <w:tcPr>
            <w:tcW w:type="dxa" w:w="4000"/>
            <w:vAlign w:val="center"/>
          </w:tcPr>
          <w:p>
            <w:pPr>
              <w:spacing w:after="0" w:before="0" w:line="240" w:lineRule="auto"/>
            </w:pPr>
            <w:r>
              <w:rPr>
                <w:color w:val="000000"/>
                <w:sz w:val="17"/>
              </w:rPr>
              <w:t xml:space="preserve">Invoices reviewed before sending (%)</w:t>
            </w:r>
          </w:p>
        </w:tc>
        <w:tc>
          <w:tcPr>
            <w:tcW w:type="dxa" w:w="1524"/>
            <w:vAlign w:val="center"/>
          </w:tcPr>
          <w:p>
            <w:pPr>
              <w:spacing w:after="0" w:before="0" w:line="240" w:lineRule="auto"/>
            </w:pPr>
            <w:r>
              <w:rPr>
                <w:color w:val="000000"/>
                <w:sz w:val="17"/>
                <w:highlight w:val="yellow"/>
              </w:rPr>
              <w:t xml:space="preserve">[20]</w:t>
            </w:r>
          </w:p>
        </w:tc>
      </w:tr>
      <w:tr>
        <w:trPr>
          <w:cantSplit/>
        </w:trPr>
        <w:tc>
          <w:tcPr>
            <w:tcW w:type="dxa" w:w="3700"/>
            <w:vAlign w:val="center"/>
          </w:tcPr>
          <w:p>
            <w:pPr>
              <w:spacing w:after="0" w:before="0" w:line="240" w:lineRule="auto"/>
            </w:pPr>
            <w:r>
              <w:rPr>
                <w:color w:val="000000"/>
                <w:sz w:val="17"/>
              </w:rPr>
              <w:t xml:space="preserve">Contracts for CFO review</w:t>
            </w:r>
          </w:p>
        </w:tc>
        <w:tc>
          <w:tcPr>
            <w:tcW w:type="dxa" w:w="1000"/>
            <w:vAlign w:val="center"/>
          </w:tcPr>
          <w:p>
            <w:pPr>
              <w:spacing w:after="0" w:before="0" w:line="240" w:lineRule="auto"/>
            </w:pPr>
            <w:r>
              <w:rPr>
                <w:color w:val="000000"/>
                <w:sz w:val="17"/>
                <w:highlight w:val="yellow"/>
              </w:rPr>
              <w:t xml:space="preserve">[4]</w:t>
            </w:r>
          </w:p>
        </w:tc>
        <w:tc>
          <w:tcPr>
            <w:tcW w:type="dxa" w:w="4000"/>
            <w:vAlign w:val="center"/>
          </w:tcPr>
          <w:p>
            <w:pPr>
              <w:spacing w:after="0" w:before="0" w:line="240" w:lineRule="auto"/>
            </w:pPr>
            <w:r>
              <w:rPr>
                <w:color w:val="000000"/>
                <w:sz w:val="17"/>
              </w:rPr>
              <w:t xml:space="preserve">Invoices with a billing exception (%)</w:t>
            </w:r>
          </w:p>
        </w:tc>
        <w:tc>
          <w:tcPr>
            <w:tcW w:type="dxa" w:w="1524"/>
            <w:vAlign w:val="center"/>
          </w:tcPr>
          <w:p>
            <w:pPr>
              <w:spacing w:after="0" w:before="0" w:line="240" w:lineRule="auto"/>
            </w:pPr>
            <w:r>
              <w:rPr>
                <w:color w:val="000000"/>
                <w:sz w:val="17"/>
                <w:highlight w:val="yellow"/>
              </w:rPr>
              <w:t xml:space="preserve">[5]</w:t>
            </w:r>
          </w:p>
        </w:tc>
      </w:tr>
      <w:tr>
        <w:trPr>
          <w:cantSplit/>
        </w:trPr>
        <w:tc>
          <w:tcPr>
            <w:tcW w:type="dxa" w:w="3700"/>
            <w:vAlign w:val="center"/>
          </w:tcPr>
          <w:p>
            <w:pPr>
              <w:spacing w:after="0" w:before="0" w:line="240" w:lineRule="auto"/>
            </w:pPr>
            <w:r>
              <w:rPr>
                <w:color w:val="000000"/>
                <w:sz w:val="17"/>
              </w:rPr>
              <w:t xml:space="preserve">Budget holders (budget month)</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Invoices bounced or rejected a month</w:t>
            </w:r>
          </w:p>
        </w:tc>
        <w:tc>
          <w:tcPr>
            <w:tcW w:type="dxa" w:w="1524"/>
            <w:vAlign w:val="center"/>
          </w:tcPr>
          <w:p>
            <w:pPr>
              <w:spacing w:after="0" w:before="0" w:line="240" w:lineRule="auto"/>
            </w:pPr>
            <w:r>
              <w:rPr>
                <w:color w:val="000000"/>
                <w:sz w:val="17"/>
                <w:highlight w:val="yellow"/>
              </w:rPr>
              <w:t xml:space="preserve">[8]</w:t>
            </w:r>
          </w:p>
        </w:tc>
      </w:tr>
      <w:tr>
        <w:trPr>
          <w:cantSplit/>
        </w:trPr>
        <w:tc>
          <w:tcPr>
            <w:tcW w:type="dxa" w:w="3700"/>
            <w:vAlign w:val="center"/>
          </w:tcPr>
          <w:p>
            <w:pPr>
              <w:spacing w:after="0" w:before="0" w:line="240" w:lineRule="auto"/>
            </w:pPr>
            <w:r>
              <w:rPr>
                <w:color w:val="000000"/>
                <w:sz w:val="17"/>
              </w:rPr>
              <w:t xml:space="preserve">Lender or covenant reports a month</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Annual price increase applied (1 if yes, 0 if not)</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Audit requests (year-end month)</w:t>
            </w:r>
          </w:p>
        </w:tc>
        <w:tc>
          <w:tcPr>
            <w:tcW w:type="dxa" w:w="1000"/>
            <w:vAlign w:val="center"/>
          </w:tcPr>
          <w:p>
            <w:pPr>
              <w:spacing w:after="0" w:before="0" w:line="240" w:lineRule="auto"/>
            </w:pPr>
            <w:r>
              <w:rPr>
                <w:color w:val="000000"/>
                <w:sz w:val="17"/>
                <w:highlight w:val="yellow"/>
              </w:rPr>
              <w:t xml:space="preserve">[60]</w:t>
            </w:r>
          </w:p>
        </w:tc>
        <w:tc>
          <w:tcPr>
            <w:tcW w:type="dxa" w:w="4000"/>
            <w:vAlign w:val="center"/>
          </w:tcPr>
          <w:p>
            <w:pPr>
              <w:spacing w:after="0" w:before="0" w:line="240" w:lineRule="auto"/>
            </w:pPr>
            <w:r>
              <w:rPr>
                <w:color w:val="000000"/>
                <w:sz w:val="17"/>
              </w:rPr>
              <w:t xml:space="preserve">Policy exceptions approved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Finance systems support requests</w:t>
            </w:r>
          </w:p>
        </w:tc>
        <w:tc>
          <w:tcPr>
            <w:tcW w:type="dxa" w:w="1000"/>
            <w:vAlign w:val="center"/>
          </w:tcPr>
          <w:p>
            <w:pPr>
              <w:spacing w:after="0" w:before="0" w:line="240" w:lineRule="auto"/>
            </w:pPr>
            <w:r>
              <w:rPr>
                <w:color w:val="000000"/>
                <w:sz w:val="17"/>
                <w:highlight w:val="yellow"/>
              </w:rPr>
              <w:t xml:space="preserve">[20]</w:t>
            </w:r>
          </w:p>
        </w:tc>
        <w:tc>
          <w:tcPr>
            <w:tcW w:type="dxa" w:w="4000"/>
            <w:vAlign w:val="center"/>
          </w:tcPr>
          <w:p>
            <w:pPr>
              <w:spacing w:after="0" w:before="0" w:line="240" w:lineRule="auto"/>
            </w:pPr>
            <w:r>
              <w:rPr>
                <w:color w:val="000000"/>
                <w:sz w:val="17"/>
              </w:rPr>
              <w:t xml:space="preserve">Related-party transactions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Supplier queries</w:t>
            </w:r>
          </w:p>
        </w:tc>
        <w:tc>
          <w:tcPr>
            <w:tcW w:type="dxa" w:w="1000"/>
            <w:vAlign w:val="center"/>
          </w:tcPr>
          <w:p>
            <w:pPr>
              <w:spacing w:after="0" w:before="0" w:line="240" w:lineRule="auto"/>
            </w:pPr>
            <w:r>
              <w:rPr>
                <w:color w:val="000000"/>
                <w:sz w:val="17"/>
                <w:highlight w:val="yellow"/>
              </w:rPr>
              <w:t xml:space="preserve">[60]</w:t>
            </w:r>
          </w:p>
        </w:tc>
        <w:tc>
          <w:tcPr>
            <w:tcW w:type="dxa" w:w="4000"/>
            <w:vAlign w:val="center"/>
          </w:tcPr>
          <w:p>
            <w:pPr>
              <w:spacing w:after="0" w:before="0" w:line="240" w:lineRule="auto"/>
            </w:pPr>
            <w:r>
              <w:rPr>
                <w:color w:val="000000"/>
                <w:sz w:val="17"/>
              </w:rPr>
              <w:t xml:space="preserve">Handovers recorded a month</w:t>
            </w:r>
          </w:p>
        </w:tc>
        <w:tc>
          <w:tcPr>
            <w:tcW w:type="dxa" w:w="1524"/>
            <w:vAlign w:val="center"/>
          </w:tcPr>
          <w:p>
            <w:pPr>
              <w:spacing w:after="0" w:before="0" w:line="240" w:lineRule="auto"/>
            </w:pPr>
            <w:r>
              <w:rPr>
                <w:color w:val="000000"/>
                <w:sz w:val="17"/>
                <w:highlight w:val="yellow"/>
              </w:rPr>
              <w:t xml:space="preserve">[2]</w:t>
            </w:r>
          </w:p>
        </w:tc>
      </w:tr>
      <w:tr>
        <w:trPr>
          <w:cantSplit/>
        </w:trPr>
        <w:tc>
          <w:tcPr>
            <w:tcW w:type="dxa" w:w="3700"/>
            <w:vAlign w:val="center"/>
          </w:tcPr>
          <w:p>
            <w:pPr>
              <w:spacing w:after="0" w:before="0" w:line="240" w:lineRule="auto"/>
            </w:pPr>
            <w:r>
              <w:rPr>
                <w:color w:val="000000"/>
                <w:sz w:val="17"/>
              </w:rPr>
              <w:t xml:space="preserve">Company card holders</w:t>
            </w:r>
          </w:p>
        </w:tc>
        <w:tc>
          <w:tcPr>
            <w:tcW w:type="dxa" w:w="1000"/>
            <w:vAlign w:val="center"/>
          </w:tcPr>
          <w:p>
            <w:pPr>
              <w:spacing w:after="0" w:before="0" w:line="240" w:lineRule="auto"/>
            </w:pPr>
            <w:r>
              <w:rPr>
                <w:color w:val="000000"/>
                <w:sz w:val="17"/>
                <w:highlight w:val="yellow"/>
              </w:rPr>
              <w:t xml:space="preserve">[10]</w:t>
            </w:r>
          </w:p>
        </w:tc>
        <w:tc>
          <w:tcPr>
            <w:tcW w:type="dxa" w:w="4000"/>
            <w:vAlign w:val="center"/>
          </w:tcPr>
          <w:p>
            <w:pPr>
              <w:spacing w:after="0" w:before="0" w:line="240" w:lineRule="auto"/>
            </w:pPr>
            <w:r>
              <w:rPr>
                <w:color w:val="000000"/>
                <w:sz w:val="17"/>
              </w:rPr>
              <w:t xml:space="preserve">Goods or services receipts confirmed with budget holders a month</w:t>
            </w:r>
          </w:p>
        </w:tc>
        <w:tc>
          <w:tcPr>
            <w:tcW w:type="dxa" w:w="1524"/>
            <w:vAlign w:val="center"/>
          </w:tcPr>
          <w:p>
            <w:pPr>
              <w:spacing w:after="0" w:before="0" w:line="240" w:lineRule="auto"/>
            </w:pPr>
            <w:r>
              <w:rPr>
                <w:color w:val="000000"/>
                <w:sz w:val="17"/>
                <w:highlight w:val="yellow"/>
              </w:rPr>
              <w:t xml:space="preserve">[30]</w:t>
            </w:r>
          </w:p>
        </w:tc>
      </w:tr>
      <w:tr>
        <w:trPr>
          <w:cantSplit/>
        </w:trPr>
        <w:tc>
          <w:tcPr>
            <w:tcW w:type="dxa" w:w="3700"/>
            <w:vAlign w:val="center"/>
          </w:tcPr>
          <w:p>
            <w:pPr>
              <w:spacing w:after="0" w:before="0" w:line="240" w:lineRule="auto"/>
            </w:pPr>
            <w:r>
              <w:rPr>
                <w:color w:val="000000"/>
                <w:sz w:val="17"/>
              </w:rPr>
              <w:t xml:space="preserve">Returned supplier payments</w:t>
            </w:r>
          </w:p>
        </w:tc>
        <w:tc>
          <w:tcPr>
            <w:tcW w:type="dxa" w:w="1000"/>
            <w:vAlign w:val="center"/>
          </w:tcPr>
          <w:p>
            <w:pPr>
              <w:spacing w:after="0" w:before="0" w:line="240" w:lineRule="auto"/>
            </w:pPr>
            <w:r>
              <w:rPr>
                <w:color w:val="000000"/>
                <w:sz w:val="17"/>
                <w:highlight w:val="yellow"/>
              </w:rPr>
              <w:t xml:space="preserve">[3]</w:t>
            </w:r>
          </w:p>
        </w:tc>
        <w:tc>
          <w:tcPr>
            <w:tcW w:type="dxa" w:w="4000"/>
            <w:vAlign w:val="center"/>
          </w:tcPr>
          <w:p>
            <w:pPr>
              <w:spacing w:after="0" w:before="0" w:line="240" w:lineRule="auto"/>
            </w:pPr>
            <w:r>
              <w:rPr>
                <w:color w:val="000000"/>
                <w:sz w:val="17"/>
              </w:rPr>
              <w:t xml:space="preserve">Emergency or non-PO purchases a month</w:t>
            </w:r>
          </w:p>
        </w:tc>
        <w:tc>
          <w:tcPr>
            <w:tcW w:type="dxa" w:w="1524"/>
            <w:vAlign w:val="center"/>
          </w:tcPr>
          <w:p>
            <w:pPr>
              <w:spacing w:after="0" w:before="0" w:line="240" w:lineRule="auto"/>
            </w:pPr>
            <w:r>
              <w:rPr>
                <w:color w:val="000000"/>
                <w:sz w:val="17"/>
                <w:highlight w:val="yellow"/>
              </w:rPr>
              <w:t xml:space="preserve">[8]</w:t>
            </w:r>
          </w:p>
        </w:tc>
      </w:tr>
      <w:tr>
        <w:trPr>
          <w:cantSplit/>
        </w:trPr>
        <w:tc>
          <w:tcPr>
            <w:tcW w:type="dxa" w:w="3700"/>
            <w:vAlign w:val="center"/>
          </w:tcPr>
          <w:p>
            <w:pPr>
              <w:spacing w:after="0" w:before="0" w:line="240" w:lineRule="auto"/>
            </w:pPr>
            <w:r>
              <w:rPr>
                <w:color w:val="000000"/>
                <w:sz w:val="17"/>
              </w:rPr>
              <w:t xml:space="preserve">Invoices uploaded to customer portals</w:t>
            </w:r>
          </w:p>
        </w:tc>
        <w:tc>
          <w:tcPr>
            <w:tcW w:type="dxa" w:w="1000"/>
            <w:vAlign w:val="center"/>
          </w:tcPr>
          <w:p>
            <w:pPr>
              <w:spacing w:after="0" w:before="0" w:line="240" w:lineRule="auto"/>
            </w:pPr>
            <w:r>
              <w:rPr>
                <w:color w:val="000000"/>
                <w:sz w:val="17"/>
                <w:highlight w:val="yellow"/>
              </w:rPr>
              <w:t xml:space="preserve">[40]</w:t>
            </w:r>
          </w:p>
        </w:tc>
        <w:tc>
          <w:tcPr>
            <w:tcW w:type="dxa" w:w="4000"/>
            <w:vAlign w:val="center"/>
          </w:tcPr>
          <w:p>
            <w:pPr>
              <w:spacing w:after="0" w:before="0" w:line="240" w:lineRule="auto"/>
            </w:pPr>
            <w:r>
              <w:rPr>
                <w:color w:val="000000"/>
                <w:sz w:val="17"/>
              </w:rPr>
              <w:t xml:space="preserve">Contracts or commitments reviewed by finance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Direct debit runs</w:t>
            </w:r>
          </w:p>
        </w:tc>
        <w:tc>
          <w:tcPr>
            <w:tcW w:type="dxa" w:w="1000"/>
            <w:vAlign w:val="center"/>
          </w:tcPr>
          <w:p>
            <w:pPr>
              <w:spacing w:after="0" w:before="0" w:line="240" w:lineRule="auto"/>
            </w:pPr>
            <w:r>
              <w:rPr>
                <w:color w:val="000000"/>
                <w:sz w:val="17"/>
                <w:highlight w:val="yellow"/>
              </w:rPr>
              <w:t xml:space="preserve">[2]</w:t>
            </w:r>
          </w:p>
        </w:tc>
        <w:tc>
          <w:tcPr>
            <w:tcW w:type="dxa" w:w="4000"/>
            <w:vAlign w:val="center"/>
          </w:tcPr>
          <w:p>
            <w:pPr>
              <w:spacing w:after="0" w:before="0" w:line="240" w:lineRule="auto"/>
            </w:pPr>
            <w:r>
              <w:rPr>
                <w:color w:val="000000"/>
                <w:sz w:val="17"/>
              </w:rPr>
              <w:t xml:space="preserve">Supplier credit notes a month</w:t>
            </w:r>
          </w:p>
        </w:tc>
        <w:tc>
          <w:tcPr>
            <w:tcW w:type="dxa" w:w="1524"/>
            <w:vAlign w:val="center"/>
          </w:tcPr>
          <w:p>
            <w:pPr>
              <w:spacing w:after="0" w:before="0" w:line="240" w:lineRule="auto"/>
            </w:pPr>
            <w:r>
              <w:rPr>
                <w:color w:val="000000"/>
                <w:sz w:val="17"/>
                <w:highlight w:val="yellow"/>
              </w:rPr>
              <w:t xml:space="preserve">[15]</w:t>
            </w:r>
          </w:p>
        </w:tc>
      </w:tr>
      <w:tr>
        <w:trPr>
          <w:cantSplit/>
        </w:trPr>
        <w:tc>
          <w:tcPr>
            <w:tcW w:type="dxa" w:w="3700"/>
            <w:vAlign w:val="center"/>
          </w:tcPr>
          <w:p>
            <w:pPr>
              <w:spacing w:after="0" w:before="0" w:line="240" w:lineRule="auto"/>
            </w:pPr>
            <w:r>
              <w:rPr>
                <w:color w:val="000000"/>
                <w:sz w:val="17"/>
              </w:rPr>
              <w:t xml:space="preserve">Customer refunds</w:t>
            </w:r>
          </w:p>
        </w:tc>
        <w:tc>
          <w:tcPr>
            <w:tcW w:type="dxa" w:w="1000"/>
            <w:vAlign w:val="center"/>
          </w:tcPr>
          <w:p>
            <w:pPr>
              <w:spacing w:after="0" w:before="0" w:line="240" w:lineRule="auto"/>
            </w:pPr>
            <w:r>
              <w:rPr>
                <w:color w:val="000000"/>
                <w:sz w:val="17"/>
                <w:highlight w:val="yellow"/>
              </w:rPr>
              <w:t xml:space="preserve">[3]</w:t>
            </w:r>
          </w:p>
        </w:tc>
        <w:tc>
          <w:tcPr>
            <w:tcW w:type="dxa" w:w="4000"/>
            <w:vAlign w:val="center"/>
          </w:tcPr>
          <w:p>
            <w:pPr>
              <w:spacing w:after="0" w:before="0" w:line="240" w:lineRule="auto"/>
            </w:pPr>
            <w:r>
              <w:rPr>
                <w:color w:val="000000"/>
                <w:sz w:val="17"/>
              </w:rPr>
              <w:t xml:space="preserve">Urgent same-day payments a month</w:t>
            </w:r>
          </w:p>
        </w:tc>
        <w:tc>
          <w:tcPr>
            <w:tcW w:type="dxa" w:w="1524"/>
            <w:vAlign w:val="center"/>
          </w:tcPr>
          <w:p>
            <w:pPr>
              <w:spacing w:after="0" w:before="0" w:line="240" w:lineRule="auto"/>
            </w:pPr>
            <w:r>
              <w:rPr>
                <w:color w:val="000000"/>
                <w:sz w:val="17"/>
                <w:highlight w:val="yellow"/>
              </w:rPr>
              <w:t xml:space="preserve">[3]</w:t>
            </w:r>
          </w:p>
        </w:tc>
      </w:tr>
      <w:tr>
        <w:trPr>
          <w:cantSplit/>
        </w:trPr>
        <w:tc>
          <w:tcPr>
            <w:tcW w:type="dxa" w:w="3700"/>
            <w:vAlign w:val="center"/>
          </w:tcPr>
          <w:p>
            <w:pPr>
              <w:spacing w:after="0" w:before="0" w:line="240" w:lineRule="auto"/>
            </w:pPr>
            <w:r>
              <w:rPr>
                <w:color w:val="000000"/>
                <w:sz w:val="17"/>
              </w:rPr>
              <w:t xml:space="preserve">Existing credit limits reviewed</w:t>
            </w:r>
          </w:p>
        </w:tc>
        <w:tc>
          <w:tcPr>
            <w:tcW w:type="dxa" w:w="1000"/>
            <w:vAlign w:val="center"/>
          </w:tcPr>
          <w:p>
            <w:pPr>
              <w:spacing w:after="0" w:before="0" w:line="240" w:lineRule="auto"/>
            </w:pPr>
            <w:r>
              <w:rPr>
                <w:color w:val="000000"/>
                <w:sz w:val="17"/>
                <w:highlight w:val="yellow"/>
              </w:rPr>
              <w:t xml:space="preserve">[10]</w:t>
            </w:r>
          </w:p>
        </w:tc>
        <w:tc>
          <w:tcPr>
            <w:tcW w:type="dxa" w:w="4000"/>
            <w:vAlign w:val="center"/>
          </w:tcPr>
          <w:p>
            <w:pPr>
              <w:spacing w:after="0" w:before="0" w:line="240" w:lineRule="auto"/>
            </w:pPr>
            <w:r>
              <w:rPr>
                <w:color w:val="000000"/>
                <w:sz w:val="17"/>
              </w:rPr>
              <w:t xml:space="preserve">Duplicate payments or overpayments recovered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Collection referrals</w:t>
            </w:r>
          </w:p>
        </w:tc>
        <w:tc>
          <w:tcPr>
            <w:tcW w:type="dxa" w:w="1000"/>
            <w:vAlign w:val="center"/>
          </w:tcPr>
          <w:p>
            <w:pPr>
              <w:spacing w:after="0" w:before="0" w:line="240" w:lineRule="auto"/>
            </w:pPr>
            <w:r>
              <w:rPr>
                <w:color w:val="000000"/>
                <w:sz w:val="17"/>
                <w:highlight w:val="yellow"/>
              </w:rPr>
              <w:t xml:space="preserve">[1]</w:t>
            </w:r>
          </w:p>
        </w:tc>
        <w:tc>
          <w:tcPr>
            <w:tcW w:type="dxa" w:w="4000"/>
            <w:vAlign w:val="center"/>
          </w:tcPr>
          <w:p>
            <w:pPr>
              <w:spacing w:after="0" w:before="0" w:line="240" w:lineRule="auto"/>
            </w:pPr>
            <w:r>
              <w:rPr>
                <w:color w:val="000000"/>
                <w:sz w:val="17"/>
              </w:rPr>
              <w:t xml:space="preserve">Invoices checked for coding and VAT treatment a month</w:t>
            </w:r>
          </w:p>
        </w:tc>
        <w:tc>
          <w:tcPr>
            <w:tcW w:type="dxa" w:w="1524"/>
            <w:vAlign w:val="center"/>
          </w:tcPr>
          <w:p>
            <w:pPr>
              <w:spacing w:after="0" w:before="0" w:line="240" w:lineRule="auto"/>
            </w:pPr>
            <w:r>
              <w:rPr>
                <w:color w:val="000000"/>
                <w:sz w:val="17"/>
                <w:highlight w:val="yellow"/>
              </w:rPr>
              <w:t xml:space="preserve">[60]</w:t>
            </w:r>
          </w:p>
        </w:tc>
      </w:tr>
      <w:tr>
        <w:trPr>
          <w:cantSplit/>
        </w:trPr>
        <w:tc>
          <w:tcPr>
            <w:tcW w:type="dxa" w:w="3700"/>
            <w:vAlign w:val="center"/>
          </w:tcPr>
          <w:p>
            <w:pPr>
              <w:spacing w:after="0" w:before="0" w:line="240" w:lineRule="auto"/>
            </w:pPr>
            <w:r>
              <w:rPr>
                <w:color w:val="000000"/>
                <w:sz w:val="17"/>
              </w:rPr>
              <w:t xml:space="preserve">Asset disposals</w:t>
            </w:r>
          </w:p>
        </w:tc>
        <w:tc>
          <w:tcPr>
            <w:tcW w:type="dxa" w:w="1000"/>
            <w:vAlign w:val="center"/>
          </w:tcPr>
          <w:p>
            <w:pPr>
              <w:spacing w:after="0" w:before="0" w:line="240" w:lineRule="auto"/>
            </w:pPr>
            <w:r>
              <w:rPr>
                <w:color w:val="000000"/>
                <w:sz w:val="17"/>
                <w:highlight w:val="yellow"/>
              </w:rPr>
              <w:t xml:space="preserve">[1]</w:t>
            </w:r>
          </w:p>
        </w:tc>
        <w:tc>
          <w:tcPr>
            <w:tcW w:type="dxa" w:w="4000"/>
            <w:vAlign w:val="center"/>
          </w:tcPr>
          <w:p>
            <w:pPr>
              <w:spacing w:after="0" w:before="0" w:line="240" w:lineRule="auto"/>
            </w:pPr>
            <w:r>
              <w:rPr>
                <w:color w:val="000000"/>
                <w:sz w:val="17"/>
              </w:rPr>
              <w:t xml:space="preserve">Non-standard terms, prices or discounts approved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Cost-centre reports</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New contracts reviewed for revenue recognition a month</w:t>
            </w:r>
          </w:p>
        </w:tc>
        <w:tc>
          <w:tcPr>
            <w:tcW w:type="dxa" w:w="1524"/>
            <w:vAlign w:val="center"/>
          </w:tcPr>
          <w:p>
            <w:pPr>
              <w:spacing w:after="0" w:before="0" w:line="240" w:lineRule="auto"/>
            </w:pPr>
            <w:r>
              <w:rPr>
                <w:color w:val="000000"/>
                <w:sz w:val="17"/>
                <w:highlight w:val="yellow"/>
              </w:rPr>
              <w:t xml:space="preserve">[6]</w:t>
            </w:r>
          </w:p>
        </w:tc>
      </w:tr>
      <w:tr>
        <w:trPr>
          <w:cantSplit/>
        </w:trPr>
        <w:tc>
          <w:tcPr>
            <w:tcW w:type="dxa" w:w="3700"/>
            <w:vAlign w:val="center"/>
          </w:tcPr>
          <w:p>
            <w:pPr>
              <w:spacing w:after="0" w:before="0" w:line="240" w:lineRule="auto"/>
            </w:pPr>
            <w:r>
              <w:rPr>
                <w:color w:val="000000"/>
                <w:sz w:val="17"/>
              </w:rPr>
              <w:t xml:space="preserve">Recruitment requests</w:t>
            </w:r>
          </w:p>
        </w:tc>
        <w:tc>
          <w:tcPr>
            <w:tcW w:type="dxa" w:w="1000"/>
            <w:vAlign w:val="center"/>
          </w:tcPr>
          <w:p>
            <w:pPr>
              <w:spacing w:after="0" w:before="0" w:line="240" w:lineRule="auto"/>
            </w:pPr>
            <w:r>
              <w:rPr>
                <w:color w:val="000000"/>
                <w:sz w:val="17"/>
                <w:highlight w:val="yellow"/>
              </w:rPr>
              <w:t xml:space="preserve">[4]</w:t>
            </w:r>
          </w:p>
        </w:tc>
        <w:tc>
          <w:tcPr>
            <w:tcW w:type="dxa" w:w="4000"/>
            <w:vAlign w:val="center"/>
          </w:tcPr>
          <w:p>
            <w:pPr>
              <w:spacing w:after="0" w:before="0" w:line="240" w:lineRule="auto"/>
            </w:pPr>
            <w:r>
              <w:rPr>
                <w:color w:val="000000"/>
                <w:sz w:val="17"/>
              </w:rPr>
              <w:t xml:space="preserve">Payment processor reconciliations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Stock valuation each month (1 = yes)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Customer payment plans agreed a month</w:t>
            </w:r>
          </w:p>
        </w:tc>
        <w:tc>
          <w:tcPr>
            <w:tcW w:type="dxa" w:w="1524"/>
            <w:vAlign w:val="center"/>
          </w:tcPr>
          <w:p>
            <w:pPr>
              <w:spacing w:after="0" w:before="0" w:line="240" w:lineRule="auto"/>
            </w:pPr>
            <w:r>
              <w:rPr>
                <w:color w:val="000000"/>
                <w:sz w:val="17"/>
                <w:highlight w:val="yellow"/>
              </w:rPr>
              <w:t xml:space="preserve">[2]</w:t>
            </w:r>
          </w:p>
        </w:tc>
      </w:tr>
      <w:tr>
        <w:trPr>
          <w:cantSplit/>
        </w:trPr>
        <w:tc>
          <w:tcPr>
            <w:tcW w:type="dxa" w:w="3700"/>
            <w:vAlign w:val="center"/>
          </w:tcPr>
          <w:p>
            <w:pPr>
              <w:spacing w:after="0" w:before="0" w:line="240" w:lineRule="auto"/>
            </w:pPr>
            <w:r>
              <w:rPr>
                <w:color w:val="000000"/>
                <w:sz w:val="17"/>
              </w:rPr>
              <w:t xml:space="preserve">Leases to account for</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Credit holds placed or released a month</w:t>
            </w:r>
          </w:p>
        </w:tc>
        <w:tc>
          <w:tcPr>
            <w:tcW w:type="dxa" w:w="1524"/>
            <w:vAlign w:val="center"/>
          </w:tcPr>
          <w:p>
            <w:pPr>
              <w:spacing w:after="0" w:before="0" w:line="240" w:lineRule="auto"/>
            </w:pPr>
            <w:r>
              <w:rPr>
                <w:color w:val="000000"/>
                <w:sz w:val="17"/>
                <w:highlight w:val="yellow"/>
              </w:rPr>
              <w:t xml:space="preserve">[4]</w:t>
            </w:r>
          </w:p>
        </w:tc>
      </w:tr>
      <w:tr>
        <w:trPr>
          <w:cantSplit/>
        </w:trPr>
        <w:tc>
          <w:tcPr>
            <w:tcW w:type="dxa" w:w="3700"/>
            <w:vAlign w:val="center"/>
          </w:tcPr>
          <w:p>
            <w:pPr>
              <w:spacing w:after="0" w:before="0" w:line="240" w:lineRule="auto"/>
            </w:pPr>
            <w:r>
              <w:rPr>
                <w:color w:val="000000"/>
                <w:sz w:val="17"/>
              </w:rPr>
              <w:t xml:space="preserve">Pays corporation tax by instalments (1 = yes)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Bad debts written off a month</w:t>
            </w:r>
          </w:p>
        </w:tc>
        <w:tc>
          <w:tcPr>
            <w:tcW w:type="dxa" w:w="1524"/>
            <w:vAlign w:val="center"/>
          </w:tcPr>
          <w:p>
            <w:pPr>
              <w:spacing w:after="0" w:before="0" w:line="240" w:lineRule="auto"/>
            </w:pPr>
            <w:r>
              <w:rPr>
                <w:color w:val="000000"/>
                <w:sz w:val="17"/>
                <w:highlight w:val="yellow"/>
              </w:rPr>
              <w:t xml:space="preserve">[2]</w:t>
            </w:r>
          </w:p>
        </w:tc>
      </w:tr>
      <w:tr>
        <w:trPr>
          <w:cantSplit/>
        </w:trPr>
        <w:tc>
          <w:tcPr>
            <w:tcW w:type="dxa" w:w="3700"/>
            <w:vAlign w:val="center"/>
          </w:tcPr>
          <w:p>
            <w:pPr>
              <w:spacing w:after="0" w:before="0" w:line="240" w:lineRule="auto"/>
            </w:pPr>
            <w:r>
              <w:rPr>
                <w:color w:val="000000"/>
                <w:sz w:val="17"/>
              </w:rPr>
              <w:t xml:space="preserve">Gender pay reporting needed (1 = yes)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Bank accounts opened or closed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Acquisition or disposal under way (1 = yes)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Transfers between bank accounts a month (0 if one account)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R&amp;D or grant claim (1 = yes)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Borrowing administered (1 if the company borrows, 0 if not)</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Manual invoices and credit notes above the approval limit (%)</w:t>
            </w:r>
          </w:p>
        </w:tc>
        <w:tc>
          <w:tcPr>
            <w:tcW w:type="dxa" w:w="1000"/>
            <w:vAlign w:val="center"/>
          </w:tcPr>
          <w:p>
            <w:pPr>
              <w:spacing w:after="0" w:before="0" w:line="240" w:lineRule="auto"/>
            </w:pPr>
            <w:r>
              <w:rPr>
                <w:color w:val="000000"/>
                <w:sz w:val="17"/>
                <w:highlight w:val="yellow"/>
              </w:rPr>
              <w:t xml:space="preserve">[30]</w:t>
            </w:r>
          </w:p>
        </w:tc>
        <w:tc>
          <w:tcPr>
            <w:tcW w:type="dxa" w:w="4000"/>
            <w:vAlign w:val="center"/>
          </w:tcPr>
          <w:p>
            <w:pPr>
              <w:spacing w:after="0" w:before="0" w:line="240" w:lineRule="auto"/>
            </w:pPr>
            <w:r>
              <w:rPr>
                <w:color w:val="000000"/>
                <w:sz w:val="17"/>
              </w:rPr>
              <w:t xml:space="preserve">Employee bank-detail changes a month</w:t>
            </w:r>
          </w:p>
        </w:tc>
        <w:tc>
          <w:tcPr>
            <w:tcW w:type="dxa" w:w="1524"/>
            <w:vAlign w:val="center"/>
          </w:tcPr>
          <w:p>
            <w:pPr>
              <w:spacing w:after="0" w:before="0" w:line="240" w:lineRule="auto"/>
            </w:pPr>
            <w:r>
              <w:rPr>
                <w:color w:val="000000"/>
                <w:sz w:val="17"/>
                <w:highlight w:val="yellow"/>
              </w:rPr>
              <w:t xml:space="preserve">[3]</w:t>
            </w:r>
          </w:p>
        </w:tc>
      </w:tr>
      <w:tr>
        <w:trPr>
          <w:cantSplit/>
        </w:trPr>
        <w:tc>
          <w:tcPr>
            <w:tcW w:type="dxa" w:w="3700"/>
            <w:vAlign w:val="center"/>
          </w:tcPr>
          <w:p>
            <w:pPr>
              <w:spacing w:after="0" w:before="0" w:line="240" w:lineRule="auto"/>
            </w:pPr>
            <w:r>
              <w:rPr>
                <w:color w:val="000000"/>
                <w:sz w:val="17"/>
              </w:rPr>
              <w:t xml:space="preserve">New master data records that are suppliers (%)</w:t>
            </w:r>
          </w:p>
        </w:tc>
        <w:tc>
          <w:tcPr>
            <w:tcW w:type="dxa" w:w="1000"/>
            <w:vAlign w:val="center"/>
          </w:tcPr>
          <w:p>
            <w:pPr>
              <w:spacing w:after="0" w:before="0" w:line="240" w:lineRule="auto"/>
            </w:pPr>
            <w:r>
              <w:rPr>
                <w:color w:val="000000"/>
                <w:sz w:val="17"/>
                <w:highlight w:val="yellow"/>
              </w:rPr>
              <w:t xml:space="preserve">[60]</w:t>
            </w:r>
          </w:p>
        </w:tc>
        <w:tc>
          <w:tcPr>
            <w:tcW w:type="dxa" w:w="4000"/>
            <w:vAlign w:val="center"/>
          </w:tcPr>
          <w:p>
            <w:pPr>
              <w:spacing w:after="0" w:before="0" w:line="240" w:lineRule="auto"/>
            </w:pPr>
            <w:r>
              <w:rPr>
                <w:color w:val="000000"/>
                <w:sz w:val="17"/>
              </w:rPr>
              <w:t xml:space="preserve">Payroll corrections or off-cycle payments a month</w:t>
            </w:r>
          </w:p>
        </w:tc>
        <w:tc>
          <w:tcPr>
            <w:tcW w:type="dxa" w:w="1524"/>
            <w:vAlign w:val="center"/>
          </w:tcPr>
          <w:p>
            <w:pPr>
              <w:spacing w:after="0" w:before="0" w:line="240" w:lineRule="auto"/>
            </w:pPr>
            <w:r>
              <w:rPr>
                <w:color w:val="000000"/>
                <w:sz w:val="17"/>
                <w:highlight w:val="yellow"/>
              </w:rPr>
              <w:t xml:space="preserve">[1]</w:t>
            </w:r>
          </w:p>
        </w:tc>
      </w:tr>
      <w:tr>
        <w:trPr>
          <w:cantSplit/>
        </w:trPr>
        <w:tc>
          <w:tcPr>
            <w:tcW w:type="dxa" w:w="3700"/>
            <w:vAlign w:val="center"/>
          </w:tcPr>
          <w:p>
            <w:pPr>
              <w:spacing w:after="0" w:before="0" w:line="240" w:lineRule="auto"/>
            </w:pPr>
            <w:r>
              <w:rPr>
                <w:color w:val="000000"/>
                <w:sz w:val="17"/>
              </w:rPr>
              <w:t xml:space="preserve">Purchase order approvals chased a month</w:t>
            </w:r>
          </w:p>
        </w:tc>
        <w:tc>
          <w:tcPr>
            <w:tcW w:type="dxa" w:w="1000"/>
            <w:vAlign w:val="center"/>
          </w:tcPr>
          <w:p>
            <w:pPr>
              <w:spacing w:after="0" w:before="0" w:line="240" w:lineRule="auto"/>
            </w:pPr>
            <w:r>
              <w:rPr>
                <w:color w:val="000000"/>
                <w:sz w:val="17"/>
                <w:highlight w:val="yellow"/>
              </w:rPr>
              <w:t xml:space="preserve">[40]</w:t>
            </w:r>
          </w:p>
        </w:tc>
        <w:tc>
          <w:tcPr>
            <w:tcW w:type="dxa" w:w="4000"/>
            <w:vAlign w:val="center"/>
          </w:tcPr>
          <w:p>
            <w:pPr>
              <w:spacing w:after="0" w:before="0" w:line="240" w:lineRule="auto"/>
            </w:pPr>
            <w:r>
              <w:rPr>
                <w:color w:val="000000"/>
                <w:sz w:val="17"/>
              </w:rPr>
              <w:t xml:space="preserve">Travel advances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CIS returns a month (0 if no subcontractors)</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Disputed or personal card transactions a month</w:t>
            </w:r>
          </w:p>
        </w:tc>
        <w:tc>
          <w:tcPr>
            <w:tcW w:type="dxa" w:w="1524"/>
            <w:vAlign w:val="center"/>
          </w:tcPr>
          <w:p>
            <w:pPr>
              <w:spacing w:after="0" w:before="0" w:line="240" w:lineRule="auto"/>
            </w:pPr>
            <w:r>
              <w:rPr>
                <w:color w:val="000000"/>
                <w:sz w:val="17"/>
                <w:highlight w:val="yellow"/>
              </w:rPr>
              <w:t xml:space="preserve">[3]</w:t>
            </w:r>
          </w:p>
        </w:tc>
      </w:tr>
      <w:tr>
        <w:trPr>
          <w:cantSplit/>
        </w:trPr>
        <w:tc>
          <w:tcPr>
            <w:tcW w:type="dxa" w:w="3700"/>
            <w:vAlign w:val="center"/>
          </w:tcPr>
          <w:p>
            <w:pPr>
              <w:spacing w:after="0" w:before="0" w:line="240" w:lineRule="auto"/>
            </w:pPr>
            <w:r>
              <w:rPr>
                <w:color w:val="000000"/>
                <w:sz w:val="17"/>
              </w:rPr>
              <w:t xml:space="preserve">Sales team and customer account queries a month</w:t>
            </w:r>
          </w:p>
        </w:tc>
        <w:tc>
          <w:tcPr>
            <w:tcW w:type="dxa" w:w="1000"/>
            <w:vAlign w:val="center"/>
          </w:tcPr>
          <w:p>
            <w:pPr>
              <w:spacing w:after="0" w:before="0" w:line="240" w:lineRule="auto"/>
            </w:pPr>
            <w:r>
              <w:rPr>
                <w:color w:val="000000"/>
                <w:sz w:val="17"/>
                <w:highlight w:val="yellow"/>
              </w:rPr>
              <w:t xml:space="preserve">[60]</w:t>
            </w:r>
          </w:p>
        </w:tc>
        <w:tc>
          <w:tcPr>
            <w:tcW w:type="dxa" w:w="4000"/>
            <w:vAlign w:val="center"/>
          </w:tcPr>
          <w:p>
            <w:pPr>
              <w:spacing w:after="0" w:before="0" w:line="240" w:lineRule="auto"/>
            </w:pPr>
            <w:r>
              <w:rPr>
                <w:color w:val="000000"/>
                <w:sz w:val="17"/>
              </w:rPr>
              <w:t xml:space="preserve">HMRC enquiries a month (0 if none)</w:t>
            </w:r>
          </w:p>
        </w:tc>
        <w:tc>
          <w:tcPr>
            <w:tcW w:type="dxa" w:w="1524"/>
            <w:vAlign w:val="center"/>
          </w:tcPr>
          <w:p>
            <w:pPr>
              <w:spacing w:after="0" w:before="0" w:line="240" w:lineRule="auto"/>
            </w:pPr>
            <w:r>
              <w:rPr>
                <w:color w:val="000000"/>
                <w:sz w:val="17"/>
                <w:highlight w:val="yellow"/>
              </w:rPr>
              <w:t xml:space="preserve">[0]</w:t>
            </w:r>
          </w:p>
        </w:tc>
      </w:tr>
      <w:tr>
        <w:trPr>
          <w:cantSplit/>
        </w:trPr>
        <w:tc>
          <w:tcPr>
            <w:tcW w:type="dxa" w:w="3700"/>
            <w:vAlign w:val="center"/>
          </w:tcPr>
          <w:p>
            <w:pPr>
              <w:spacing w:after="0" w:before="0" w:line="240" w:lineRule="auto"/>
            </w:pPr>
            <w:r>
              <w:rPr>
                <w:color w:val="000000"/>
                <w:sz w:val="17"/>
              </w:rPr>
              <w:t xml:space="preserve">Credit insurance declarations a month (0 if not insured)</w:t>
            </w:r>
          </w:p>
        </w:tc>
        <w:tc>
          <w:tcPr>
            <w:tcW w:type="dxa" w:w="1000"/>
            <w:vAlign w:val="center"/>
          </w:tcPr>
          <w:p>
            <w:pPr>
              <w:spacing w:after="0" w:before="0" w:line="240" w:lineRule="auto"/>
            </w:pPr>
            <w:r>
              <w:rPr>
                <w:color w:val="000000"/>
                <w:sz w:val="17"/>
                <w:highlight w:val="yellow"/>
              </w:rPr>
              <w:t xml:space="preserve">[0]</w:t>
            </w:r>
          </w:p>
        </w:tc>
        <w:tc>
          <w:tcPr>
            <w:tcW w:type="dxa" w:w="4000"/>
            <w:vAlign w:val="center"/>
          </w:tcPr>
          <w:p>
            <w:pPr>
              <w:spacing w:after="0" w:before="0" w:line="240" w:lineRule="auto"/>
            </w:pPr>
            <w:r>
              <w:rPr>
                <w:color w:val="000000"/>
                <w:sz w:val="17"/>
              </w:rPr>
              <w:t xml:space="preserve">System configuration changes a month</w:t>
            </w:r>
          </w:p>
        </w:tc>
        <w:tc>
          <w:tcPr>
            <w:tcW w:type="dxa" w:w="1524"/>
            <w:vAlign w:val="center"/>
          </w:tcPr>
          <w:p>
            <w:pPr>
              <w:spacing w:after="0" w:before="0" w:line="240" w:lineRule="auto"/>
            </w:pPr>
            <w:r>
              <w:rPr>
                <w:color w:val="000000"/>
                <w:sz w:val="17"/>
                <w:highlight w:val="yellow"/>
              </w:rPr>
              <w:t xml:space="preserve">[2]</w:t>
            </w:r>
          </w:p>
        </w:tc>
      </w:tr>
      <w:tr>
        <w:trPr>
          <w:cantSplit/>
        </w:trPr>
        <w:tc>
          <w:tcPr>
            <w:tcW w:type="dxa" w:w="3700"/>
            <w:vAlign w:val="center"/>
          </w:tcPr>
          <w:p>
            <w:pPr>
              <w:spacing w:after="0" w:before="0" w:line="240" w:lineRule="auto"/>
            </w:pPr>
            <w:r>
              <w:rPr>
                <w:color w:val="000000"/>
                <w:sz w:val="17"/>
              </w:rPr>
              <w:t xml:space="preserve">Cost recharges and recurring journals a month</w:t>
            </w:r>
          </w:p>
        </w:tc>
        <w:tc>
          <w:tcPr>
            <w:tcW w:type="dxa" w:w="1000"/>
            <w:vAlign w:val="center"/>
          </w:tcPr>
          <w:p>
            <w:pPr>
              <w:spacing w:after="0" w:before="0" w:line="240" w:lineRule="auto"/>
            </w:pPr>
            <w:r>
              <w:rPr>
                <w:color w:val="000000"/>
                <w:sz w:val="17"/>
                <w:highlight w:val="yellow"/>
              </w:rPr>
              <w:t xml:space="preserve">[15]</w:t>
            </w:r>
          </w:p>
        </w:tc>
        <w:tc>
          <w:tcPr>
            <w:tcW w:type="dxa" w:w="4000"/>
            <w:vAlign w:val="center"/>
          </w:tcPr>
          <w:p>
            <w:pPr>
              <w:spacing w:after="0" w:before="0" w:line="240" w:lineRule="auto"/>
            </w:pPr>
            <w:r>
              <w:rPr>
                <w:color w:val="000000"/>
                <w:sz w:val="17"/>
              </w:rPr>
              <w:t xml:space="preserve">Audit fieldwork requests a month (February and March)</w:t>
            </w:r>
          </w:p>
        </w:tc>
        <w:tc>
          <w:tcPr>
            <w:tcW w:type="dxa" w:w="1524"/>
            <w:vAlign w:val="center"/>
          </w:tcPr>
          <w:p>
            <w:pPr>
              <w:spacing w:after="0" w:before="0" w:line="240" w:lineRule="auto"/>
            </w:pPr>
            <w:r>
              <w:rPr>
                <w:color w:val="000000"/>
                <w:sz w:val="17"/>
                <w:highlight w:val="yellow"/>
              </w:rPr>
              <w:t xml:space="preserve">[30]</w:t>
            </w:r>
          </w:p>
        </w:tc>
      </w:tr>
      <w:tr>
        <w:trPr>
          <w:cantSplit/>
        </w:trPr>
        <w:tc>
          <w:tcPr>
            <w:tcW w:type="dxa" w:w="3700"/>
            <w:vAlign w:val="center"/>
          </w:tcPr>
          <w:p>
            <w:pPr>
              <w:spacing w:after="0" w:before="0" w:line="240" w:lineRule="auto"/>
            </w:pPr>
            <w:r>
              <w:rPr>
                <w:color w:val="000000"/>
                <w:sz w:val="17"/>
              </w:rPr>
              <w:t xml:space="preserve">Posting errors investigated a month</w:t>
            </w:r>
          </w:p>
        </w:tc>
        <w:tc>
          <w:tcPr>
            <w:tcW w:type="dxa" w:w="1000"/>
            <w:vAlign w:val="center"/>
          </w:tcPr>
          <w:p>
            <w:pPr>
              <w:spacing w:after="0" w:before="0" w:line="240" w:lineRule="auto"/>
            </w:pPr>
            <w:r>
              <w:rPr>
                <w:color w:val="000000"/>
                <w:sz w:val="17"/>
                <w:highlight w:val="yellow"/>
              </w:rPr>
              <w:t xml:space="preserve">[12]</w:t>
            </w:r>
          </w:p>
        </w:tc>
        <w:tc>
          <w:tcPr>
            <w:tcW w:type="dxa" w:w="4000"/>
            <w:vAlign w:val="center"/>
          </w:tcPr>
          <w:p>
            <w:pPr>
              <w:spacing w:after="0" w:before="0" w:line="240" w:lineRule="auto"/>
            </w:pPr>
            <w:r>
              <w:rPr>
                <w:color w:val="000000"/>
                <w:sz w:val="17"/>
              </w:rPr>
              <w:t xml:space="preserve">Failed feeds found by the weekly checks a month</w:t>
            </w:r>
          </w:p>
        </w:tc>
        <w:tc>
          <w:tcPr>
            <w:tcW w:type="dxa" w:w="1524"/>
            <w:vAlign w:val="center"/>
          </w:tcPr>
          <w:p>
            <w:pPr>
              <w:spacing w:after="0" w:before="0" w:line="240" w:lineRule="auto"/>
            </w:pPr>
            <w:r>
              <w:rPr>
                <w:color w:val="000000"/>
                <w:sz w:val="17"/>
                <w:highlight w:val="yellow"/>
              </w:rPr>
              <w:t xml:space="preserve">[1]</w:t>
            </w:r>
          </w:p>
        </w:tc>
      </w:tr>
    </w:tbl>
    <w:p>
      <w:pPr>
        <w:pStyle w:val="Title"/>
        <w:pageBreakBefore/>
      </w:pPr>
      <w:r>
        <w:t>CFO office process guide</w:t>
      </w:r>
    </w:p>
    <w:p>
      <w:pPr>
        <w:pStyle w:val="Heading1"/>
      </w:pPr>
      <w:r>
        <w:t xml:space="preserve">Part D. The simulation: what it is and how to use it</w:t>
      </w:r>
    </w:p>
    <w:p>
      <w:pPr>
        <w:spacing w:after="120"/>
      </w:pPr>
      <w:r>
        <w:t xml:space="preserve">The guide comes with an interactive simulation of the CFO office. It runs the same month, or a full year, twice: once as the office works today and once in the recommended model with agents. It shows the work moving through the systems, rules, agents and people, and measures what changes: timetable, workload, queues, the three financial statements and the general ledger. It is a decision aid built on stated assumptions, not a forecast; every figure it produces follows from the inputs described in this part.</w:t>
      </w:r>
    </w:p>
    <w:p>
      <w:r>
        <w:rPr>
          <w:b/>
        </w:rPr>
        <w:t xml:space="preserve">Where it is: </w:t>
      </w:r>
      <w:r>
        <w:t xml:space="preserve">A single web page: cfo_agent_simulation.html, also published as a private link </w:t>
      </w:r>
      <w:r>
        <w:rPr>
          <w:highlight w:val="yellow"/>
        </w:rPr>
        <w:t xml:space="preserve">[link to confirm]</w:t>
      </w:r>
      <w:r>
        <w:t xml:space="preserve">. It runs in any modern browser with no installation, server or login. Nothing is saved: changes made on the page last until it is reloaded.</w:t>
      </w:r>
    </w:p>
    <w:p>
      <w:r>
        <w:rPr>
          <w:b/>
        </w:rPr>
        <w:t xml:space="preserve">Who owns it: </w:t>
      </w:r>
      <w:r>
        <w:rPr>
          <w:highlight w:val="yellow"/>
        </w:rPr>
        <w:t xml:space="preserve">[Finance Manager, as owner of finance systems: confirm]</w:t>
      </w:r>
      <w:r>
        <w:t xml:space="preserve">. Changes to its assumptions or logic are recorded in the change log of this guide.</w:t>
      </w:r>
    </w:p>
    <w:p>
      <w:pPr>
        <w:pStyle w:val="Heading2"/>
      </w:pPr>
      <w:r>
        <w:t xml:space="preserve">The two models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200"/>
        <w:gridCol w:w="8024"/>
      </w:tblGrid>
      <w:tr>
        <w:trPr>
          <w:tblHeader/>
        </w:trPr>
        <w:tc>
          <w:tcPr>
            <w:tcW w:type="dxa" w:w="2200"/>
            <w:shd w:val="clear" w:color="auto" w:fill="DCE6F1"/>
            <w:vAlign w:val="center"/>
          </w:tcPr>
          <w:p>
            <w:pPr>
              <w:spacing w:after="0" w:before="0" w:line="240" w:lineRule="auto"/>
            </w:pPr>
            <w:r>
              <w:rPr>
                <w:b/>
                <w:color w:val="000000"/>
                <w:sz w:val="17"/>
              </w:rPr>
              <w:t xml:space="preserve">Model</w:t>
            </w:r>
          </w:p>
        </w:tc>
        <w:tc>
          <w:tcPr>
            <w:tcW w:type="dxa" w:w="8024"/>
            <w:shd w:val="clear" w:color="auto" w:fill="DCE6F1"/>
            <w:vAlign w:val="center"/>
          </w:tcPr>
          <w:p>
            <w:pPr>
              <w:spacing w:after="0" w:before="0" w:line="240" w:lineRule="auto"/>
            </w:pPr>
            <w:r>
              <w:rPr>
                <w:b/>
                <w:color w:val="000000"/>
                <w:sz w:val="17"/>
              </w:rPr>
              <w:t xml:space="preserve">What it represents</w:t>
            </w:r>
          </w:p>
        </w:tc>
      </w:tr>
      <w:tr>
        <w:trPr>
          <w:cantSplit/>
        </w:trPr>
        <w:tc>
          <w:tcPr>
            <w:tcW w:type="dxa" w:w="2200"/>
            <w:vAlign w:val="center"/>
          </w:tcPr>
          <w:p>
            <w:pPr>
              <w:spacing w:after="0" w:before="0" w:line="240" w:lineRule="auto"/>
            </w:pPr>
            <w:r>
              <w:rPr>
                <w:b/>
                <w:color w:val="000000"/>
                <w:sz w:val="17"/>
              </w:rPr>
              <w:t xml:space="preserve">Today</w:t>
            </w:r>
          </w:p>
        </w:tc>
        <w:tc>
          <w:tcPr>
            <w:tcW w:type="dxa" w:w="8024"/>
            <w:vAlign w:val="center"/>
          </w:tcPr>
          <w:p>
            <w:pPr>
              <w:spacing w:after="0" w:before="0" w:line="240" w:lineRule="auto"/>
            </w:pPr>
            <w:r>
              <w:rPr>
                <w:color w:val="000000"/>
                <w:sz w:val="17"/>
              </w:rPr>
              <w:t xml:space="preserve">The current way of working: system rules clear routine items; the finance team investigates, prepares, drafts, chases and ties out everything else by hand, tracked by email and a spreadsheet checklist. Its close and pack days are produced by the simulation; a model check compares them with the actual timetable (close on working day 7, pack on day 10).</w:t>
            </w:r>
          </w:p>
        </w:tc>
      </w:tr>
      <w:tr>
        <w:trPr>
          <w:cantSplit/>
        </w:trPr>
        <w:tc>
          <w:tcPr>
            <w:tcW w:type="dxa" w:w="2200"/>
            <w:vAlign w:val="center"/>
          </w:tcPr>
          <w:p>
            <w:pPr>
              <w:spacing w:after="0" w:before="0" w:line="240" w:lineRule="auto"/>
            </w:pPr>
            <w:r>
              <w:rPr>
                <w:b/>
                <w:color w:val="000000"/>
                <w:sz w:val="17"/>
              </w:rPr>
              <w:t xml:space="preserve">Recommended, with agents</w:t>
            </w:r>
          </w:p>
        </w:tc>
        <w:tc>
          <w:tcPr>
            <w:tcW w:type="dxa" w:w="8024"/>
            <w:vAlign w:val="center"/>
          </w:tcPr>
          <w:p>
            <w:pPr>
              <w:spacing w:after="0" w:before="0" w:line="240" w:lineRule="auto"/>
            </w:pPr>
            <w:r>
              <w:rPr>
                <w:color w:val="000000"/>
                <w:sz w:val="17"/>
              </w:rPr>
              <w:t xml:space="preserve">The end state after all three rollout phases: a workflow engine and data checks run the routine; four agents (X1 Investigator, X2 Preparer, X3 Drafter, X4 Figure checker) prepare work using the ten playbooks; people review, approve, post, file and release payments; low-value items are sample-checked. Agents never see individual pay data, change master data, post, pay, file or contact third parties.</w:t>
            </w:r>
          </w:p>
        </w:tc>
      </w:tr>
    </w:tbl>
    <w:p>
      <w:pPr>
        <w:pStyle w:val="Heading2"/>
      </w:pPr>
      <w:r>
        <w:t xml:space="preserve">What you can do with it</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400"/>
        <w:gridCol w:w="7824"/>
      </w:tblGrid>
      <w:tr>
        <w:trPr>
          <w:tblHeader/>
        </w:trPr>
        <w:tc>
          <w:tcPr>
            <w:tcW w:type="dxa" w:w="2400"/>
            <w:shd w:val="clear" w:color="auto" w:fill="DCE6F1"/>
            <w:vAlign w:val="center"/>
          </w:tcPr>
          <w:p>
            <w:pPr>
              <w:spacing w:after="0" w:before="0" w:line="240" w:lineRule="auto"/>
            </w:pPr>
            <w:r>
              <w:rPr>
                <w:b/>
                <w:color w:val="000000"/>
                <w:sz w:val="17"/>
              </w:rPr>
              <w:t xml:space="preserve">View or control</w:t>
            </w:r>
          </w:p>
        </w:tc>
        <w:tc>
          <w:tcPr>
            <w:tcW w:type="dxa" w:w="7824"/>
            <w:shd w:val="clear" w:color="auto" w:fill="DCE6F1"/>
            <w:vAlign w:val="center"/>
          </w:tcPr>
          <w:p>
            <w:pPr>
              <w:spacing w:after="0" w:before="0" w:line="240" w:lineRule="auto"/>
            </w:pPr>
            <w:r>
              <w:rPr>
                <w:b/>
                <w:color w:val="000000"/>
                <w:sz w:val="17"/>
              </w:rPr>
              <w:t xml:space="preserve">What it does</w:t>
            </w:r>
          </w:p>
        </w:tc>
      </w:tr>
      <w:tr>
        <w:trPr>
          <w:cantSplit/>
        </w:trPr>
        <w:tc>
          <w:tcPr>
            <w:tcW w:type="dxa" w:w="2400"/>
            <w:vAlign w:val="center"/>
          </w:tcPr>
          <w:p>
            <w:pPr>
              <w:spacing w:after="0" w:before="0" w:line="240" w:lineRule="auto"/>
            </w:pPr>
            <w:r>
              <w:rPr>
                <w:b/>
                <w:color w:val="000000"/>
                <w:sz w:val="17"/>
              </w:rPr>
              <w:t xml:space="preserve">Run the month</w:t>
            </w:r>
          </w:p>
        </w:tc>
        <w:tc>
          <w:tcPr>
            <w:tcW w:type="dxa" w:w="7824"/>
            <w:vAlign w:val="center"/>
          </w:tcPr>
          <w:p>
            <w:pPr>
              <w:spacing w:after="0" w:before="0" w:line="240" w:lineRule="auto"/>
            </w:pPr>
            <w:r>
              <w:rPr>
                <w:color w:val="000000"/>
                <w:sz w:val="17"/>
              </w:rPr>
              <w:t xml:space="preserve">Animates one month for the selected model: dots are work moving between boxes; badges show items waiting for each person; a live feed lists what happens each day.</w:t>
            </w:r>
          </w:p>
        </w:tc>
      </w:tr>
      <w:tr>
        <w:trPr>
          <w:cantSplit/>
        </w:trPr>
        <w:tc>
          <w:tcPr>
            <w:tcW w:type="dxa" w:w="2400"/>
            <w:vAlign w:val="center"/>
          </w:tcPr>
          <w:p>
            <w:pPr>
              <w:spacing w:after="0" w:before="0" w:line="240" w:lineRule="auto"/>
            </w:pPr>
            <w:r>
              <w:rPr>
                <w:b/>
                <w:color w:val="000000"/>
                <w:sz w:val="17"/>
              </w:rPr>
              <w:t xml:space="preserve">Month picker and flags</w:t>
            </w:r>
          </w:p>
        </w:tc>
        <w:tc>
          <w:tcPr>
            <w:tcW w:type="dxa" w:w="7824"/>
            <w:vAlign w:val="center"/>
          </w:tcPr>
          <w:p>
            <w:pPr>
              <w:spacing w:after="0" w:before="0" w:line="240" w:lineRule="auto"/>
            </w:pPr>
            <w:r>
              <w:rPr>
                <w:color w:val="000000"/>
                <w:sz w:val="17"/>
              </w:rPr>
              <w:t xml:space="preserve">Chooses a real calendar month. Its working days, quarter-end, year-end, VAT, board, budget and July work are set from the calendar and can be overridden with the tick boxes.</w:t>
            </w:r>
          </w:p>
        </w:tc>
      </w:tr>
      <w:tr>
        <w:trPr>
          <w:cantSplit/>
        </w:trPr>
        <w:tc>
          <w:tcPr>
            <w:tcW w:type="dxa" w:w="2400"/>
            <w:vAlign w:val="center"/>
          </w:tcPr>
          <w:p>
            <w:pPr>
              <w:spacing w:after="0" w:before="0" w:line="240" w:lineRule="auto"/>
            </w:pPr>
            <w:r>
              <w:rPr>
                <w:b/>
                <w:color w:val="000000"/>
                <w:sz w:val="17"/>
              </w:rPr>
              <w:t xml:space="preserve">Run a full year</w:t>
            </w:r>
          </w:p>
        </w:tc>
        <w:tc>
          <w:tcPr>
            <w:tcW w:type="dxa" w:w="7824"/>
            <w:vAlign w:val="center"/>
          </w:tcPr>
          <w:p>
            <w:pPr>
              <w:spacing w:after="0" w:before="0" w:line="240" w:lineRule="auto"/>
            </w:pPr>
            <w:r>
              <w:rPr>
                <w:color w:val="000000"/>
                <w:sz w:val="17"/>
              </w:rPr>
              <w:t xml:space="preserve">Runs twelve months in sequence from the year-end close, carrying balances forward, and fills the year view. Skip the animation to run a year in a few seconds.</w:t>
            </w:r>
          </w:p>
        </w:tc>
      </w:tr>
      <w:tr>
        <w:trPr>
          <w:cantSplit/>
        </w:trPr>
        <w:tc>
          <w:tcPr>
            <w:tcW w:type="dxa" w:w="2400"/>
            <w:vAlign w:val="center"/>
          </w:tcPr>
          <w:p>
            <w:pPr>
              <w:spacing w:after="0" w:before="0" w:line="240" w:lineRule="auto"/>
            </w:pPr>
            <w:r>
              <w:rPr>
                <w:b/>
                <w:color w:val="000000"/>
                <w:sz w:val="17"/>
              </w:rPr>
              <w:t xml:space="preserve">Real-world variability and seed</w:t>
            </w:r>
          </w:p>
        </w:tc>
        <w:tc>
          <w:tcPr>
            <w:tcW w:type="dxa" w:w="7824"/>
            <w:vAlign w:val="center"/>
          </w:tcPr>
          <w:p>
            <w:pPr>
              <w:spacing w:after="0" w:before="0" w:line="240" w:lineRule="auto"/>
            </w:pPr>
            <w:r>
              <w:rPr>
                <w:color w:val="000000"/>
                <w:sz w:val="17"/>
              </w:rPr>
              <w:t xml:space="preserve">Adds randomness: volume swings, task-time spread, sickness, a key person off during the close, late files, changing agent acceptance and rework. The seed makes a run repeatable.</w:t>
            </w:r>
          </w:p>
        </w:tc>
      </w:tr>
      <w:tr>
        <w:trPr>
          <w:cantSplit/>
        </w:trPr>
        <w:tc>
          <w:tcPr>
            <w:tcW w:type="dxa" w:w="2400"/>
            <w:vAlign w:val="center"/>
          </w:tcPr>
          <w:p>
            <w:pPr>
              <w:spacing w:after="0" w:before="0" w:line="240" w:lineRule="auto"/>
            </w:pPr>
            <w:r>
              <w:rPr>
                <w:b/>
                <w:color w:val="000000"/>
                <w:sz w:val="17"/>
              </w:rPr>
              <w:t xml:space="preserve">Range of outcomes</w:t>
            </w:r>
          </w:p>
        </w:tc>
        <w:tc>
          <w:tcPr>
            <w:tcW w:type="dxa" w:w="7824"/>
            <w:vAlign w:val="center"/>
          </w:tcPr>
          <w:p>
            <w:pPr>
              <w:spacing w:after="0" w:before="0" w:line="240" w:lineRule="auto"/>
            </w:pPr>
            <w:r>
              <w:rPr>
                <w:color w:val="000000"/>
                <w:sz w:val="17"/>
              </w:rPr>
              <w:t xml:space="preserve">Runs the selected month 50 to 200 times under each model with variability on and reports the spread (P10, P50, P90), how often the close and pack hit target, and how often anyone is overloaded.</w:t>
            </w:r>
          </w:p>
        </w:tc>
      </w:tr>
      <w:tr>
        <w:trPr>
          <w:cantSplit/>
        </w:trPr>
        <w:tc>
          <w:tcPr>
            <w:tcW w:type="dxa" w:w="2400"/>
            <w:vAlign w:val="center"/>
          </w:tcPr>
          <w:p>
            <w:pPr>
              <w:spacing w:after="0" w:before="0" w:line="240" w:lineRule="auto"/>
            </w:pPr>
            <w:r>
              <w:rPr>
                <w:b/>
                <w:color w:val="000000"/>
                <w:sz w:val="17"/>
              </w:rPr>
              <w:t xml:space="preserve">Walk through one case</w:t>
            </w:r>
          </w:p>
        </w:tc>
        <w:tc>
          <w:tcPr>
            <w:tcW w:type="dxa" w:w="7824"/>
            <w:vAlign w:val="center"/>
          </w:tcPr>
          <w:p>
            <w:pPr>
              <w:spacing w:after="0" w:before="0" w:line="240" w:lineRule="auto"/>
            </w:pPr>
            <w:r>
              <w:rPr>
                <w:color w:val="000000"/>
                <w:sz w:val="17"/>
              </w:rPr>
              <w:t xml:space="preserve">Steps through a single piece of work in either model: twelve featured walkthroughs and one generated case for every task (146 cases today, 150 with agents), grouped by process.</w:t>
            </w:r>
          </w:p>
        </w:tc>
      </w:tr>
      <w:tr>
        <w:trPr>
          <w:cantSplit/>
        </w:trPr>
        <w:tc>
          <w:tcPr>
            <w:tcW w:type="dxa" w:w="2400"/>
            <w:vAlign w:val="center"/>
          </w:tcPr>
          <w:p>
            <w:pPr>
              <w:spacing w:after="0" w:before="0" w:line="240" w:lineRule="auto"/>
            </w:pPr>
            <w:r>
              <w:rPr>
                <w:b/>
                <w:color w:val="000000"/>
                <w:sz w:val="17"/>
              </w:rPr>
              <w:t xml:space="preserve">Process board and who is doing the work</w:t>
            </w:r>
          </w:p>
        </w:tc>
        <w:tc>
          <w:tcPr>
            <w:tcW w:type="dxa" w:w="7824"/>
            <w:vAlign w:val="center"/>
          </w:tcPr>
          <w:p>
            <w:pPr>
              <w:spacing w:after="0" w:before="0" w:line="240" w:lineRule="auto"/>
            </w:pPr>
            <w:r>
              <w:rPr>
                <w:color w:val="000000"/>
                <w:sz w:val="17"/>
              </w:rPr>
              <w:t xml:space="preserve">Items, items cleared by rules, items with people or agents, items waiting and items done for each process; each role’s share of time used; agent and playbook load.</w:t>
            </w:r>
          </w:p>
        </w:tc>
      </w:tr>
      <w:tr>
        <w:trPr>
          <w:cantSplit/>
        </w:trPr>
        <w:tc>
          <w:tcPr>
            <w:tcW w:type="dxa" w:w="2400"/>
            <w:vAlign w:val="center"/>
          </w:tcPr>
          <w:p>
            <w:pPr>
              <w:spacing w:after="0" w:before="0" w:line="240" w:lineRule="auto"/>
            </w:pPr>
            <w:r>
              <w:rPr>
                <w:b/>
                <w:color w:val="000000"/>
                <w:sz w:val="17"/>
              </w:rPr>
              <w:t xml:space="preserve">The three financial statements</w:t>
            </w:r>
          </w:p>
        </w:tc>
        <w:tc>
          <w:tcPr>
            <w:tcW w:type="dxa" w:w="7824"/>
            <w:vAlign w:val="center"/>
          </w:tcPr>
          <w:p>
            <w:pPr>
              <w:spacing w:after="0" w:before="0" w:line="240" w:lineRule="auto"/>
            </w:pPr>
            <w:r>
              <w:rPr>
                <w:color w:val="000000"/>
                <w:sz w:val="17"/>
              </w:rPr>
              <w:t xml:space="preserve">Income statement, balance sheet and cash flow, read from the general ledger, building live during the month and compared between the models.</w:t>
            </w:r>
          </w:p>
        </w:tc>
      </w:tr>
      <w:tr>
        <w:trPr>
          <w:cantSplit/>
        </w:trPr>
        <w:tc>
          <w:tcPr>
            <w:tcW w:type="dxa" w:w="2400"/>
            <w:vAlign w:val="center"/>
          </w:tcPr>
          <w:p>
            <w:pPr>
              <w:spacing w:after="0" w:before="0" w:line="240" w:lineRule="auto"/>
            </w:pPr>
            <w:r>
              <w:rPr>
                <w:b/>
                <w:color w:val="000000"/>
                <w:sz w:val="17"/>
              </w:rPr>
              <w:t xml:space="preserve">Journals and general ledger</w:t>
            </w:r>
          </w:p>
        </w:tc>
        <w:tc>
          <w:tcPr>
            <w:tcW w:type="dxa" w:w="7824"/>
            <w:vAlign w:val="center"/>
          </w:tcPr>
          <w:p>
            <w:pPr>
              <w:spacing w:after="0" w:before="0" w:line="240" w:lineRule="auto"/>
            </w:pPr>
            <w:r>
              <w:rPr>
                <w:color w:val="000000"/>
                <w:sz w:val="17"/>
              </w:rPr>
              <w:t xml:space="preserve">Every journal with its preparer and approver, and the trial balance with each account’s ledger.</w:t>
            </w:r>
          </w:p>
        </w:tc>
      </w:tr>
      <w:tr>
        <w:trPr>
          <w:cantSplit/>
        </w:trPr>
        <w:tc>
          <w:tcPr>
            <w:tcW w:type="dxa" w:w="2400"/>
            <w:vAlign w:val="center"/>
          </w:tcPr>
          <w:p>
            <w:pPr>
              <w:spacing w:after="0" w:before="0" w:line="240" w:lineRule="auto"/>
            </w:pPr>
            <w:r>
              <w:rPr>
                <w:b/>
                <w:color w:val="000000"/>
                <w:sz w:val="17"/>
              </w:rPr>
              <w:t xml:space="preserve">Comparison and year view</w:t>
            </w:r>
          </w:p>
        </w:tc>
        <w:tc>
          <w:tcPr>
            <w:tcW w:type="dxa" w:w="7824"/>
            <w:vAlign w:val="center"/>
          </w:tcPr>
          <w:p>
            <w:pPr>
              <w:spacing w:after="0" w:before="0" w:line="240" w:lineRule="auto"/>
            </w:pPr>
            <w:r>
              <w:rPr>
                <w:color w:val="000000"/>
                <w:sz w:val="17"/>
              </w:rPr>
              <w:t xml:space="preserve">Today against recommended for timetable, hours by role, share of time used, queues and agent steps, for the month and for the year.</w:t>
            </w:r>
          </w:p>
        </w:tc>
      </w:tr>
      <w:tr>
        <w:trPr>
          <w:cantSplit/>
        </w:trPr>
        <w:tc>
          <w:tcPr>
            <w:tcW w:type="dxa" w:w="2400"/>
            <w:vAlign w:val="center"/>
          </w:tcPr>
          <w:p>
            <w:pPr>
              <w:spacing w:after="0" w:before="0" w:line="240" w:lineRule="auto"/>
            </w:pPr>
            <w:r>
              <w:rPr>
                <w:b/>
                <w:color w:val="000000"/>
                <w:sz w:val="17"/>
              </w:rPr>
              <w:t xml:space="preserve">Organisation, calendar and assumption panels</w:t>
            </w:r>
          </w:p>
        </w:tc>
        <w:tc>
          <w:tcPr>
            <w:tcW w:type="dxa" w:w="7824"/>
            <w:vAlign w:val="center"/>
          </w:tcPr>
          <w:p>
            <w:pPr>
              <w:spacing w:after="0" w:before="0" w:line="240" w:lineRule="auto"/>
            </w:pPr>
            <w:r>
              <w:rPr>
                <w:color w:val="000000"/>
                <w:sz w:val="17"/>
              </w:rPr>
              <w:t xml:space="preserve">Edit headcount, other work, calendar, seasonality, leave, variability, volumes, task minutes, agent settings and financial assumptions.</w:t>
            </w:r>
          </w:p>
        </w:tc>
      </w:tr>
    </w:tbl>
    <w:p>
      <w:r>
        <w:rPr>
          <w:sz w:val="18"/>
        </w:rPr>
        <w:t xml:space="preserve">Suggested demonstration: run the month under Today, then Recommended, and compare; walk through the same case in both models; open the journals to show who prepared and approved each one; run the range of outcomes; then run a full year in each model.</w:t>
      </w:r>
    </w:p>
    <w:p>
      <w:pPr>
        <w:pStyle w:val="Title"/>
        <w:pageBreakBefore/>
      </w:pPr>
      <w:r>
        <w:t>CFO office process guide</w:t>
      </w:r>
    </w:p>
    <w:p>
      <w:pPr>
        <w:pStyle w:val="Heading1"/>
      </w:pPr>
      <w:r>
        <w:t xml:space="preserve">How the simulation works</w:t>
      </w:r>
    </w:p>
    <w:p>
      <w:pPr>
        <w:spacing w:after="120"/>
      </w:pPr>
      <w:r>
        <w:t xml:space="preserve">The simulation is a resource-constrained discrete-event model, rebuilt after an independent technical audit. It builds the plan of every task for each month, turns it into individual items with unique identifiers, and processes every event (an item arriving, a resource becoming free, a stage finishing, a working day starting, a month ending) strictly in time order. A month, or a full year, runs on one continuous timeline. Every step is written to an event log; the animation replays that log and cannot change any result, and the log can be exported for audit.</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500"/>
        <w:gridCol w:w="7724"/>
      </w:tblGrid>
      <w:tr>
        <w:trPr>
          <w:tblHeader/>
        </w:trPr>
        <w:tc>
          <w:tcPr>
            <w:tcW w:type="dxa" w:w="2500"/>
            <w:shd w:val="clear" w:color="auto" w:fill="DCE6F1"/>
            <w:vAlign w:val="center"/>
          </w:tcPr>
          <w:p>
            <w:pPr>
              <w:spacing w:after="0" w:before="0" w:line="240" w:lineRule="auto"/>
            </w:pPr>
            <w:r>
              <w:rPr>
                <w:b/>
                <w:color w:val="000000"/>
                <w:sz w:val="18"/>
              </w:rPr>
              <w:t xml:space="preserve">Element</w:t>
            </w:r>
          </w:p>
        </w:tc>
        <w:tc>
          <w:tcPr>
            <w:tcW w:type="dxa" w:w="7724"/>
            <w:shd w:val="clear" w:color="auto" w:fill="DCE6F1"/>
            <w:vAlign w:val="center"/>
          </w:tcPr>
          <w:p>
            <w:pPr>
              <w:spacing w:after="0" w:before="0" w:line="240" w:lineRule="auto"/>
            </w:pPr>
            <w:r>
              <w:rPr>
                <w:b/>
                <w:color w:val="000000"/>
                <w:sz w:val="18"/>
              </w:rPr>
              <w:t xml:space="preserve">How it is modelled</w:t>
            </w:r>
          </w:p>
        </w:tc>
      </w:tr>
      <w:tr>
        <w:trPr>
          <w:cantSplit/>
        </w:trPr>
        <w:tc>
          <w:tcPr>
            <w:tcW w:type="dxa" w:w="2500"/>
            <w:vAlign w:val="center"/>
          </w:tcPr>
          <w:p>
            <w:pPr>
              <w:spacing w:after="0" w:before="0" w:line="240" w:lineRule="auto"/>
            </w:pPr>
            <w:r>
              <w:rPr>
                <w:b/>
                <w:color w:val="000000"/>
                <w:sz w:val="18"/>
              </w:rPr>
              <w:t xml:space="preserve">Time</w:t>
            </w:r>
          </w:p>
        </w:tc>
        <w:tc>
          <w:tcPr>
            <w:tcW w:type="dxa" w:w="7724"/>
            <w:vAlign w:val="center"/>
          </w:tcPr>
          <w:p>
            <w:pPr>
              <w:spacing w:after="0" w:before="0" w:line="240" w:lineRule="auto"/>
            </w:pPr>
            <w:r>
              <w:rPr>
                <w:color w:val="000000"/>
                <w:sz w:val="18"/>
              </w:rPr>
              <w:t xml:space="preserve">A month is its real number of working days (weekends and bank holidays removed). Time is continuous: each event happens at an exact moment, and results such as the close are also reported in working days into the month to one decimal place.</w:t>
            </w:r>
          </w:p>
        </w:tc>
      </w:tr>
      <w:tr>
        <w:trPr>
          <w:cantSplit/>
        </w:trPr>
        <w:tc>
          <w:tcPr>
            <w:tcW w:type="dxa" w:w="2500"/>
            <w:vAlign w:val="center"/>
          </w:tcPr>
          <w:p>
            <w:pPr>
              <w:spacing w:after="0" w:before="0" w:line="240" w:lineRule="auto"/>
            </w:pPr>
            <w:r>
              <w:rPr>
                <w:b/>
                <w:color w:val="000000"/>
                <w:sz w:val="18"/>
              </w:rPr>
              <w:t xml:space="preserve">Items and arrivals</w:t>
            </w:r>
          </w:p>
        </w:tc>
        <w:tc>
          <w:tcPr>
            <w:tcW w:type="dxa" w:w="7724"/>
            <w:vAlign w:val="center"/>
          </w:tcPr>
          <w:p>
            <w:pPr>
              <w:spacing w:after="0" w:before="0" w:line="240" w:lineRule="auto"/>
            </w:pPr>
            <w:r>
              <w:rPr>
                <w:color w:val="000000"/>
                <w:sz w:val="18"/>
              </w:rPr>
              <w:t xml:space="preserve">Work that needs a person or an agent is handled item by item (each invoice exception, reconciliation or receipt is its own item), so items can be worked in parallel. Monthly volumes are spread across the days using weekday weightings and a month-end rush; with variability on, each item’s day and time of arrival are random. Work handled by the rules alone moves in daily batches.</w:t>
            </w:r>
          </w:p>
        </w:tc>
      </w:tr>
      <w:tr>
        <w:trPr>
          <w:cantSplit/>
        </w:trPr>
        <w:tc>
          <w:tcPr>
            <w:tcW w:type="dxa" w:w="2500"/>
            <w:vAlign w:val="center"/>
          </w:tcPr>
          <w:p>
            <w:pPr>
              <w:spacing w:after="0" w:before="0" w:line="240" w:lineRule="auto"/>
            </w:pPr>
            <w:r>
              <w:rPr>
                <w:b/>
                <w:color w:val="000000"/>
                <w:sz w:val="18"/>
              </w:rPr>
              <w:t xml:space="preserve">The month plan</w:t>
            </w:r>
          </w:p>
        </w:tc>
        <w:tc>
          <w:tcPr>
            <w:tcW w:type="dxa" w:w="7724"/>
            <w:vAlign w:val="center"/>
          </w:tcPr>
          <w:p>
            <w:pPr>
              <w:spacing w:after="0" w:before="0" w:line="240" w:lineRule="auto"/>
            </w:pPr>
            <w:r>
              <w:rPr>
                <w:color w:val="000000"/>
                <w:sz w:val="18"/>
              </w:rPr>
              <w:t xml:space="preserve">Every task in the task inventory is scheduled on its day: daily, weekly on the chosen weekday, in the close, after the close, or in quarter-end, year-end, budget, VAT, board and July months. Volumes are the monthly figures, adjusted for seasonality, spread across the days.</w:t>
            </w:r>
          </w:p>
        </w:tc>
      </w:tr>
      <w:tr>
        <w:trPr>
          <w:cantSplit/>
        </w:trPr>
        <w:tc>
          <w:tcPr>
            <w:tcW w:type="dxa" w:w="2500"/>
            <w:vAlign w:val="center"/>
          </w:tcPr>
          <w:p>
            <w:pPr>
              <w:spacing w:after="0" w:before="0" w:line="240" w:lineRule="auto"/>
            </w:pPr>
            <w:r>
              <w:rPr>
                <w:b/>
                <w:color w:val="000000"/>
                <w:sz w:val="18"/>
              </w:rPr>
              <w:t xml:space="preserve">Routes</w:t>
            </w:r>
          </w:p>
        </w:tc>
        <w:tc>
          <w:tcPr>
            <w:tcW w:type="dxa" w:w="7724"/>
            <w:vAlign w:val="center"/>
          </w:tcPr>
          <w:p>
            <w:pPr>
              <w:spacing w:after="0" w:before="0" w:line="240" w:lineRule="auto"/>
            </w:pPr>
            <w:r>
              <w:rPr>
                <w:color w:val="000000"/>
                <w:sz w:val="18"/>
              </w:rPr>
              <w:t xml:space="preserve">Each task follows a route through the diagram, for example shared mailbox, commercial systems, matching rules, workflow, data checks, X1, SharePoint, AP team, ERP. The two models have different routes for the same task.</w:t>
            </w:r>
          </w:p>
        </w:tc>
      </w:tr>
      <w:tr>
        <w:trPr>
          <w:cantSplit/>
        </w:trPr>
        <w:tc>
          <w:tcPr>
            <w:tcW w:type="dxa" w:w="2500"/>
            <w:vAlign w:val="center"/>
          </w:tcPr>
          <w:p>
            <w:pPr>
              <w:spacing w:after="0" w:before="0" w:line="240" w:lineRule="auto"/>
            </w:pPr>
            <w:r>
              <w:rPr>
                <w:b/>
                <w:color w:val="000000"/>
                <w:sz w:val="18"/>
              </w:rPr>
              <w:t xml:space="preserve">Resources</w:t>
            </w:r>
          </w:p>
        </w:tc>
        <w:tc>
          <w:tcPr>
            <w:tcW w:type="dxa" w:w="7724"/>
            <w:vAlign w:val="center"/>
          </w:tcPr>
          <w:p>
            <w:pPr>
              <w:spacing w:after="0" w:before="0" w:line="240" w:lineRule="auto"/>
            </w:pPr>
            <w:r>
              <w:rPr>
                <w:color w:val="000000"/>
                <w:sz w:val="18"/>
              </w:rPr>
              <w:t xml:space="preserve">People, agents and systems are finite pools. Each FTE is a worker slot (a part-time FTE has a shorter day); each agent has a set number of runs it can do at once; each system has a number of items it handles at once. A stage starts only when a slot is free, and each slot does one stage at a time. Zero capacity is allowed: the work simply waits.</w:t>
            </w:r>
          </w:p>
        </w:tc>
      </w:tr>
      <w:tr>
        <w:trPr>
          <w:cantSplit/>
        </w:trPr>
        <w:tc>
          <w:tcPr>
            <w:tcW w:type="dxa" w:w="2500"/>
            <w:vAlign w:val="center"/>
          </w:tcPr>
          <w:p>
            <w:pPr>
              <w:spacing w:after="0" w:before="0" w:line="240" w:lineRule="auto"/>
            </w:pPr>
            <w:r>
              <w:rPr>
                <w:b/>
                <w:color w:val="000000"/>
                <w:sz w:val="18"/>
              </w:rPr>
              <w:t xml:space="preserve">Capacity each day</w:t>
            </w:r>
          </w:p>
        </w:tc>
        <w:tc>
          <w:tcPr>
            <w:tcW w:type="dxa" w:w="7724"/>
            <w:vAlign w:val="center"/>
          </w:tcPr>
          <w:p>
            <w:pPr>
              <w:spacing w:after="0" w:before="0" w:line="240" w:lineRule="auto"/>
            </w:pPr>
            <w:r>
              <w:rPr>
                <w:color w:val="000000"/>
                <w:sz w:val="18"/>
              </w:rPr>
              <w:t xml:space="preserve">At the start of every working day an event sets each slot’s capacity: 7.5 hours × FTE × present that day × (1 − other work), plus overtime in peaks; agents and systems are unavailable on outage days. Work in progress is advanced to that moment and rescheduled at the new rate, so delivered plus remaining effort always equals the effort required.</w:t>
            </w:r>
          </w:p>
        </w:tc>
      </w:tr>
      <w:tr>
        <w:trPr>
          <w:cantSplit/>
        </w:trPr>
        <w:tc>
          <w:tcPr>
            <w:tcW w:type="dxa" w:w="2500"/>
            <w:vAlign w:val="center"/>
          </w:tcPr>
          <w:p>
            <w:pPr>
              <w:spacing w:after="0" w:before="0" w:line="240" w:lineRule="auto"/>
            </w:pPr>
            <w:r>
              <w:rPr>
                <w:b/>
                <w:color w:val="000000"/>
                <w:sz w:val="18"/>
              </w:rPr>
              <w:t xml:space="preserve">Peaks</w:t>
            </w:r>
          </w:p>
        </w:tc>
        <w:tc>
          <w:tcPr>
            <w:tcW w:type="dxa" w:w="7724"/>
            <w:vAlign w:val="center"/>
          </w:tcPr>
          <w:p>
            <w:pPr>
              <w:spacing w:after="0" w:before="0" w:line="240" w:lineRule="auto"/>
            </w:pPr>
            <w:r>
              <w:rPr>
                <w:color w:val="000000"/>
                <w:sz w:val="18"/>
              </w:rPr>
              <w:t xml:space="preserve">Until the close is signed off, the accountants, Finance Manager and Financial Controller set aside most of their other work; FP&amp;A and the CFO do the same until the pack is issued. No planned leave is taken in the first </w:t>
            </w:r>
            <w:r>
              <w:rPr>
                <w:color w:val="000000"/>
                <w:sz w:val="18"/>
                <w:highlight w:val="yellow"/>
              </w:rPr>
              <w:t xml:space="preserve">[7]</w:t>
            </w:r>
            <w:r>
              <w:rPr>
                <w:color w:val="000000"/>
                <w:sz w:val="18"/>
              </w:rPr>
              <w:t xml:space="preserve"> working days for close roles or up to day </w:t>
            </w:r>
            <w:r>
              <w:rPr>
                <w:color w:val="000000"/>
                <w:sz w:val="18"/>
                <w:highlight w:val="yellow"/>
              </w:rPr>
              <w:t xml:space="preserve">[10]</w:t>
            </w:r>
            <w:r>
              <w:rPr>
                <w:color w:val="000000"/>
                <w:sz w:val="18"/>
              </w:rPr>
              <w:t xml:space="preserve"> for reporting roles.</w:t>
            </w:r>
          </w:p>
        </w:tc>
      </w:tr>
      <w:tr>
        <w:trPr>
          <w:cantSplit/>
        </w:trPr>
        <w:tc>
          <w:tcPr>
            <w:tcW w:type="dxa" w:w="2500"/>
            <w:vAlign w:val="center"/>
          </w:tcPr>
          <w:p>
            <w:pPr>
              <w:spacing w:after="0" w:before="0" w:line="240" w:lineRule="auto"/>
            </w:pPr>
            <w:r>
              <w:rPr>
                <w:b/>
                <w:color w:val="000000"/>
                <w:sz w:val="18"/>
              </w:rPr>
              <w:t xml:space="preserve">Queues and priority</w:t>
            </w:r>
          </w:p>
        </w:tc>
        <w:tc>
          <w:tcPr>
            <w:tcW w:type="dxa" w:w="7724"/>
            <w:vAlign w:val="center"/>
          </w:tcPr>
          <w:p>
            <w:pPr>
              <w:spacing w:after="0" w:before="0" w:line="240" w:lineRule="auto"/>
            </w:pPr>
            <w:r>
              <w:rPr>
                <w:color w:val="000000"/>
                <w:sz w:val="18"/>
              </w:rPr>
              <w:t xml:space="preserve">Each pool has a queue. When a slot becomes free it takes the highest-priority waiting stage (close, reporting, payroll, payments and anything with a statutory due date go first), otherwise the longest-waiting one. People work in sessions of at most </w:t>
            </w:r>
            <w:r>
              <w:rPr>
                <w:color w:val="000000"/>
                <w:sz w:val="18"/>
                <w:highlight w:val="yellow"/>
              </w:rPr>
              <w:t xml:space="preserve">[2]</w:t>
            </w:r>
            <w:r>
              <w:rPr>
                <w:color w:val="000000"/>
                <w:sz w:val="18"/>
              </w:rPr>
              <w:t xml:space="preserve"> hours: between sessions they pick up more urgent waiting work, so a long task cannot block an urgent approval for days; within a session nothing is interrupted. Events at the same moment are processed in a fixed order, so results never depend on how long the run is.</w:t>
            </w:r>
          </w:p>
        </w:tc>
      </w:tr>
      <w:tr>
        <w:trPr>
          <w:cantSplit/>
        </w:trPr>
        <w:tc>
          <w:tcPr>
            <w:tcW w:type="dxa" w:w="2500"/>
            <w:vAlign w:val="center"/>
          </w:tcPr>
          <w:p>
            <w:pPr>
              <w:spacing w:after="0" w:before="0" w:line="240" w:lineRule="auto"/>
            </w:pPr>
            <w:r>
              <w:rPr>
                <w:b/>
                <w:color w:val="000000"/>
                <w:sz w:val="18"/>
              </w:rPr>
              <w:t xml:space="preserve">External parties</w:t>
            </w:r>
          </w:p>
        </w:tc>
        <w:tc>
          <w:tcPr>
            <w:tcW w:type="dxa" w:w="7724"/>
            <w:vAlign w:val="center"/>
          </w:tcPr>
          <w:p>
            <w:pPr>
              <w:spacing w:after="0" w:before="0" w:line="240" w:lineRule="auto"/>
            </w:pPr>
            <w:r>
              <w:rPr>
                <w:color w:val="000000"/>
                <w:sz w:val="18"/>
              </w:rPr>
              <w:t xml:space="preserve">Business managers, the board and external advisers are not finance capacity. They are modelled as external delays: a reply time for budget holders, and set delays for board decisions and advisers.</w:t>
            </w:r>
          </w:p>
        </w:tc>
      </w:tr>
      <w:tr>
        <w:trPr>
          <w:cantSplit/>
        </w:trPr>
        <w:tc>
          <w:tcPr>
            <w:tcW w:type="dxa" w:w="2500"/>
            <w:vAlign w:val="center"/>
          </w:tcPr>
          <w:p>
            <w:pPr>
              <w:spacing w:after="0" w:before="0" w:line="240" w:lineRule="auto"/>
            </w:pPr>
            <w:r>
              <w:rPr>
                <w:b/>
                <w:color w:val="000000"/>
                <w:sz w:val="18"/>
              </w:rPr>
              <w:t xml:space="preserve">Months and backlog</w:t>
            </w:r>
          </w:p>
        </w:tc>
        <w:tc>
          <w:tcPr>
            <w:tcW w:type="dxa" w:w="7724"/>
            <w:vAlign w:val="center"/>
          </w:tcPr>
          <w:p>
            <w:pPr>
              <w:spacing w:after="0" w:before="0" w:line="240" w:lineRule="auto"/>
            </w:pPr>
            <w:r>
              <w:rPr>
                <w:color w:val="000000"/>
                <w:sz w:val="18"/>
              </w:rPr>
              <w:t xml:space="preserve">A full year runs as one continuous simulation. Unfinished items carry on with their remaining effort, queues and dependencies intact; month-end only takes a snapshot. A single month runs on with no new arrivals for a safety period, and anything still open then is reported as unfinished, never given a finish date.</w:t>
            </w:r>
          </w:p>
        </w:tc>
      </w:tr>
      <w:tr>
        <w:trPr>
          <w:cantSplit/>
        </w:trPr>
        <w:tc>
          <w:tcPr>
            <w:tcW w:type="dxa" w:w="2500"/>
            <w:vAlign w:val="center"/>
          </w:tcPr>
          <w:p>
            <w:pPr>
              <w:spacing w:after="0" w:before="0" w:line="240" w:lineRule="auto"/>
            </w:pPr>
            <w:r>
              <w:rPr>
                <w:b/>
                <w:color w:val="000000"/>
                <w:sz w:val="18"/>
              </w:rPr>
              <w:t xml:space="preserve">Other work</w:t>
            </w:r>
          </w:p>
        </w:tc>
        <w:tc>
          <w:tcPr>
            <w:tcW w:type="dxa" w:w="7724"/>
            <w:vAlign w:val="center"/>
          </w:tcPr>
          <w:p>
            <w:pPr>
              <w:spacing w:after="0" w:before="0" w:line="240" w:lineRule="auto"/>
            </w:pPr>
            <w:r>
              <w:rPr>
                <w:color w:val="000000"/>
                <w:sz w:val="18"/>
              </w:rPr>
              <w:t xml:space="preserve">Other work set aside during the close and reporting is deferred, not lost: it is caught up after the peak, up to a set extra share of each day, and any still outstanding is reported.</w:t>
            </w:r>
          </w:p>
        </w:tc>
      </w:tr>
      <w:tr>
        <w:trPr>
          <w:cantSplit/>
        </w:trPr>
        <w:tc>
          <w:tcPr>
            <w:tcW w:type="dxa" w:w="2500"/>
            <w:vAlign w:val="center"/>
          </w:tcPr>
          <w:p>
            <w:pPr>
              <w:spacing w:after="0" w:before="0" w:line="240" w:lineRule="auto"/>
            </w:pPr>
            <w:r>
              <w:rPr>
                <w:b/>
                <w:color w:val="000000"/>
                <w:sz w:val="18"/>
              </w:rPr>
              <w:t xml:space="preserve">Calibration</w:t>
            </w:r>
          </w:p>
        </w:tc>
        <w:tc>
          <w:tcPr>
            <w:tcW w:type="dxa" w:w="7724"/>
            <w:vAlign w:val="center"/>
          </w:tcPr>
          <w:p>
            <w:pPr>
              <w:spacing w:after="0" w:before="0" w:line="240" w:lineRule="auto"/>
            </w:pPr>
            <w:r>
              <w:rPr>
                <w:color w:val="000000"/>
                <w:sz w:val="18"/>
              </w:rPr>
              <w:t xml:space="preserve">Two explicit staffing policies are calibrated so today’s model reproduces the actual close (day 7): overtime of </w:t>
            </w:r>
            <w:r>
              <w:rPr>
                <w:color w:val="000000"/>
                <w:sz w:val="18"/>
                <w:highlight w:val="yellow"/>
              </w:rPr>
              <w:t xml:space="preserve">[2]</w:t>
            </w:r>
            <w:r>
              <w:rPr>
                <w:color w:val="000000"/>
                <w:sz w:val="18"/>
              </w:rPr>
              <w:t xml:space="preserve"> hours per person per day during the close and reporting, and </w:t>
            </w:r>
            <w:r>
              <w:rPr>
                <w:color w:val="000000"/>
                <w:sz w:val="18"/>
                <w:highlight w:val="yellow"/>
              </w:rPr>
              <w:t xml:space="preserve">[5%]</w:t>
            </w:r>
            <w:r>
              <w:rPr>
                <w:color w:val="000000"/>
                <w:sz w:val="18"/>
              </w:rPr>
              <w:t xml:space="preserve"> of other work kept during those peaks (unchanged by the latest audit fixes). With variability off, items now arrive evenly through each day rather than at seeded random times, so the central case has no hidden randomness. On that basis today’s model closes 7.0 to 7.6 working days into the month (day 8) and issues the pack on day 10 to 11, about half a day later than the actual timetable; the earlier exact fit depended on one random arrival layout. More overtime is not added to force the fit: the two-week time log should close the gap. The SOP controls added after the conformity review (approval of each journal over the threshold before posting, a final trial balance check after all postings, weekly feed checks) lengthen the close critical path, which is why more overtime is needed than before. That is left visible rather than adjusted.</w:t>
            </w:r>
          </w:p>
        </w:tc>
      </w:tr>
      <w:tr>
        <w:trPr>
          <w:cantSplit/>
        </w:trPr>
        <w:tc>
          <w:tcPr>
            <w:tcW w:type="dxa" w:w="2500"/>
            <w:vAlign w:val="center"/>
          </w:tcPr>
          <w:p>
            <w:pPr>
              <w:spacing w:after="0" w:before="0" w:line="240" w:lineRule="auto"/>
            </w:pPr>
            <w:r>
              <w:rPr>
                <w:b/>
                <w:color w:val="000000"/>
                <w:sz w:val="18"/>
              </w:rPr>
              <w:t xml:space="preserve">Business managers</w:t>
            </w:r>
          </w:p>
        </w:tc>
        <w:tc>
          <w:tcPr>
            <w:tcW w:type="dxa" w:w="7724"/>
            <w:vAlign w:val="center"/>
          </w:tcPr>
          <w:p>
            <w:pPr>
              <w:spacing w:after="0" w:before="0" w:line="240" w:lineRule="auto"/>
            </w:pPr>
            <w:r>
              <w:rPr>
                <w:color w:val="000000"/>
                <w:sz w:val="18"/>
              </w:rPr>
              <w:t xml:space="preserve">Budget holders, line managers and sales owners have no queue but take time to reply: one day on average today and half a day with workflow reminders.</w:t>
            </w:r>
          </w:p>
        </w:tc>
      </w:tr>
      <w:tr>
        <w:trPr>
          <w:cantSplit/>
        </w:trPr>
        <w:tc>
          <w:tcPr>
            <w:tcW w:type="dxa" w:w="2500"/>
            <w:vAlign w:val="center"/>
          </w:tcPr>
          <w:p>
            <w:pPr>
              <w:spacing w:after="0" w:before="0" w:line="240" w:lineRule="auto"/>
            </w:pPr>
            <w:r>
              <w:rPr>
                <w:b/>
                <w:color w:val="000000"/>
                <w:sz w:val="18"/>
              </w:rPr>
              <w:t xml:space="preserve">Systems</w:t>
            </w:r>
          </w:p>
        </w:tc>
        <w:tc>
          <w:tcPr>
            <w:tcW w:type="dxa" w:w="7724"/>
            <w:vAlign w:val="center"/>
          </w:tcPr>
          <w:p>
            <w:pPr>
              <w:spacing w:after="0" w:before="0" w:line="240" w:lineRule="auto"/>
            </w:pPr>
            <w:r>
              <w:rPr>
                <w:color w:val="000000"/>
                <w:sz w:val="18"/>
              </w:rPr>
              <w:t xml:space="preserve">Systems are a resource too: each system has processing minutes per item, a number of items it handles at once, and a chance of being unavailable on a working day when variability is on (work does not start or progress until it is back). Power BI takes </w:t>
            </w:r>
            <w:r>
              <w:rPr>
                <w:color w:val="000000"/>
                <w:sz w:val="18"/>
                <w:highlight w:val="yellow"/>
              </w:rPr>
              <w:t xml:space="preserve">[20 minutes]</w:t>
            </w:r>
            <w:r>
              <w:rPr>
                <w:color w:val="000000"/>
                <w:sz w:val="18"/>
              </w:rPr>
              <w:t xml:space="preserve"> to refresh after the close is signed off. Default processing times are small; they matter mainly when a system is slow or down.</w:t>
            </w:r>
          </w:p>
        </w:tc>
      </w:tr>
      <w:tr>
        <w:trPr>
          <w:cantSplit/>
        </w:trPr>
        <w:tc>
          <w:tcPr>
            <w:tcW w:type="dxa" w:w="2500"/>
            <w:vAlign w:val="center"/>
          </w:tcPr>
          <w:p>
            <w:pPr>
              <w:spacing w:after="0" w:before="0" w:line="240" w:lineRule="auto"/>
            </w:pPr>
            <w:r>
              <w:rPr>
                <w:b/>
                <w:color w:val="000000"/>
                <w:sz w:val="18"/>
              </w:rPr>
              <w:t xml:space="preserve">Agents</w:t>
            </w:r>
          </w:p>
        </w:tc>
        <w:tc>
          <w:tcPr>
            <w:tcW w:type="dxa" w:w="7724"/>
            <w:vAlign w:val="center"/>
          </w:tcPr>
          <w:p>
            <w:pPr>
              <w:spacing w:after="0" w:before="0" w:line="240" w:lineRule="auto"/>
            </w:pPr>
            <w:r>
              <w:rPr>
                <w:color w:val="000000"/>
                <w:sz w:val="18"/>
              </w:rPr>
              <w:t xml:space="preserve">Agents are a resource: each step takes processing time per item </w:t>
            </w:r>
            <w:r>
              <w:rPr>
                <w:color w:val="000000"/>
                <w:sz w:val="18"/>
                <w:highlight w:val="yellow"/>
              </w:rPr>
              <w:t xml:space="preserve">[2 minutes]</w:t>
            </w:r>
            <w:r>
              <w:rPr>
                <w:color w:val="000000"/>
                <w:sz w:val="18"/>
              </w:rPr>
              <w:t xml:space="preserve"> and only a set number of agent runs work at once </w:t>
            </w:r>
            <w:r>
              <w:rPr>
                <w:color w:val="000000"/>
                <w:sz w:val="18"/>
                <w:highlight w:val="yellow"/>
              </w:rPr>
              <w:t xml:space="preserve">[10]</w:t>
            </w:r>
            <w:r>
              <w:rPr>
                <w:color w:val="000000"/>
                <w:sz w:val="18"/>
              </w:rPr>
              <w:t xml:space="preserve">. Each step is counted as a model call. Agents read records and write proposals; a named person reviews every proposal, except low-value invoice exceptions, which are sample-checked.</w:t>
            </w:r>
          </w:p>
        </w:tc>
      </w:tr>
      <w:tr>
        <w:trPr>
          <w:cantSplit/>
        </w:trPr>
        <w:tc>
          <w:tcPr>
            <w:tcW w:type="dxa" w:w="2500"/>
            <w:vAlign w:val="center"/>
          </w:tcPr>
          <w:p>
            <w:pPr>
              <w:spacing w:after="0" w:before="0" w:line="240" w:lineRule="auto"/>
            </w:pPr>
            <w:r>
              <w:rPr>
                <w:b/>
                <w:color w:val="000000"/>
                <w:sz w:val="18"/>
              </w:rPr>
              <w:t xml:space="preserve">Hand-offs</w:t>
            </w:r>
          </w:p>
        </w:tc>
        <w:tc>
          <w:tcPr>
            <w:tcW w:type="dxa" w:w="7724"/>
            <w:vAlign w:val="center"/>
          </w:tcPr>
          <w:p>
            <w:pPr>
              <w:spacing w:after="0" w:before="0" w:line="240" w:lineRule="auto"/>
            </w:pPr>
            <w:r>
              <w:rPr>
                <w:color w:val="000000"/>
                <w:sz w:val="18"/>
              </w:rPr>
              <w:t xml:space="preserve">Moving work between boxes takes a set time </w:t>
            </w:r>
            <w:r>
              <w:rPr>
                <w:color w:val="000000"/>
                <w:sz w:val="18"/>
                <w:highlight w:val="yellow"/>
              </w:rPr>
              <w:t xml:space="preserve">[1 minute]</w:t>
            </w:r>
            <w:r>
              <w:rPr>
                <w:color w:val="000000"/>
                <w:sz w:val="18"/>
              </w:rPr>
              <w:t xml:space="preserve">. The animation replays the event log, so how the diagram is laid out does not affect any result.</w:t>
            </w:r>
          </w:p>
        </w:tc>
      </w:tr>
      <w:tr>
        <w:trPr>
          <w:cantSplit/>
        </w:trPr>
        <w:tc>
          <w:tcPr>
            <w:tcW w:type="dxa" w:w="2500"/>
            <w:vAlign w:val="center"/>
          </w:tcPr>
          <w:p>
            <w:pPr>
              <w:spacing w:after="0" w:before="0" w:line="240" w:lineRule="auto"/>
            </w:pPr>
            <w:r>
              <w:rPr>
                <w:b/>
                <w:color w:val="000000"/>
                <w:sz w:val="18"/>
              </w:rPr>
              <w:t xml:space="preserve">Rejections</w:t>
            </w:r>
          </w:p>
        </w:tc>
        <w:tc>
          <w:tcPr>
            <w:tcW w:type="dxa" w:w="7724"/>
            <w:vAlign w:val="center"/>
          </w:tcPr>
          <w:p>
            <w:pPr>
              <w:spacing w:after="0" w:before="0" w:line="240" w:lineRule="auto"/>
            </w:pPr>
            <w:r>
              <w:rPr>
                <w:color w:val="000000"/>
                <w:sz w:val="18"/>
              </w:rPr>
              <w:t xml:space="preserve">Each agent proposal is accepted or rejected on its own (75% accepted by default; the rate can be set per task in the task table). A rejected item costs review time plus the manual time.</w:t>
            </w:r>
          </w:p>
        </w:tc>
      </w:tr>
      <w:tr>
        <w:trPr>
          <w:cantSplit/>
        </w:trPr>
        <w:tc>
          <w:tcPr>
            <w:tcW w:type="dxa" w:w="2500"/>
            <w:vAlign w:val="center"/>
          </w:tcPr>
          <w:p>
            <w:pPr>
              <w:spacing w:after="0" w:before="0" w:line="240" w:lineRule="auto"/>
            </w:pPr>
            <w:r>
              <w:rPr>
                <w:b/>
                <w:color w:val="000000"/>
                <w:sz w:val="18"/>
              </w:rPr>
              <w:t xml:space="preserve">Randomness</w:t>
            </w:r>
          </w:p>
        </w:tc>
        <w:tc>
          <w:tcPr>
            <w:tcW w:type="dxa" w:w="7724"/>
            <w:vAlign w:val="center"/>
          </w:tcPr>
          <w:p>
            <w:pPr>
              <w:spacing w:after="0" w:before="0" w:line="240" w:lineRule="auto"/>
            </w:pPr>
            <w:r>
              <w:rPr>
                <w:color w:val="000000"/>
                <w:sz w:val="18"/>
              </w:rPr>
              <w:t xml:space="preserve">Every random draw is tied to what it is for: a particular invoice, a person on a particular day, a month. It does not depend on the order of events, the same seed repeats exactly, and both models see the same invoices, sickness and late files, so their difference is measured like for like.</w:t>
            </w:r>
          </w:p>
        </w:tc>
      </w:tr>
      <w:tr>
        <w:trPr>
          <w:cantSplit/>
        </w:trPr>
        <w:tc>
          <w:tcPr>
            <w:tcW w:type="dxa" w:w="2500"/>
            <w:vAlign w:val="center"/>
          </w:tcPr>
          <w:p>
            <w:pPr>
              <w:spacing w:after="0" w:before="0" w:line="240" w:lineRule="auto"/>
            </w:pPr>
            <w:r>
              <w:rPr>
                <w:b/>
                <w:color w:val="000000"/>
                <w:sz w:val="18"/>
              </w:rPr>
              <w:t xml:space="preserve">Dependencies</w:t>
            </w:r>
          </w:p>
        </w:tc>
        <w:tc>
          <w:tcPr>
            <w:tcW w:type="dxa" w:w="7724"/>
            <w:vAlign w:val="center"/>
          </w:tcPr>
          <w:p>
            <w:pPr>
              <w:spacing w:after="0" w:before="0" w:line="240" w:lineRule="auto"/>
            </w:pPr>
            <w:r>
              <w:rPr>
                <w:color w:val="000000"/>
                <w:sz w:val="18"/>
              </w:rPr>
              <w:t xml:space="preserve">Prerequisites are checked before a run: an unknown prerequisite or a circular dependency is reported and the affected items stay blocked and counted. Dependencies are per instance where it matters: each remittance run waits for its own payment run, and reconciliations wait for the month’s journals. Nothing in the close or reporting is fixed to a day. Close tasks are released when their inputs are ready (day 1 or 2); the close pack starts when every other close task is done; sign-off follows the close pack; Power BI refreshes after sign-off; variances and the pack follow; the pack is issued when it has been tied out and reviewed. Payroll changes precede the payroll check, which precedes payment. Reforecast and budget work wait for submissions.</w:t>
            </w:r>
          </w:p>
        </w:tc>
      </w:tr>
      <w:tr>
        <w:trPr>
          <w:cantSplit/>
        </w:trPr>
        <w:tc>
          <w:tcPr>
            <w:tcW w:type="dxa" w:w="2500"/>
            <w:vAlign w:val="center"/>
          </w:tcPr>
          <w:p>
            <w:pPr>
              <w:spacing w:after="0" w:before="0" w:line="240" w:lineRule="auto"/>
            </w:pPr>
            <w:r>
              <w:rPr>
                <w:b/>
                <w:color w:val="000000"/>
                <w:sz w:val="18"/>
              </w:rPr>
              <w:t xml:space="preserve">Milestones (the headline result)</w:t>
            </w:r>
          </w:p>
        </w:tc>
        <w:tc>
          <w:tcPr>
            <w:tcW w:type="dxa" w:w="7724"/>
            <w:vAlign w:val="center"/>
          </w:tcPr>
          <w:p>
            <w:pPr>
              <w:spacing w:after="0" w:before="0" w:line="240" w:lineRule="auto"/>
            </w:pPr>
            <w:r>
              <w:rPr>
                <w:color w:val="000000"/>
                <w:sz w:val="18"/>
              </w:rPr>
              <w:t xml:space="preserve">Close complete is the working day the Financial Controller signs off; pack issued is the day the CFO releases it. Both are produced by the simulation from headcount, other work, agents, the tasks and their times. The day 5 and day 8 targets with agents are shown for comparison only.</w:t>
            </w:r>
          </w:p>
        </w:tc>
      </w:tr>
      <w:tr>
        <w:trPr>
          <w:cantSplit/>
        </w:trPr>
        <w:tc>
          <w:tcPr>
            <w:tcW w:type="dxa" w:w="2500"/>
            <w:vAlign w:val="center"/>
          </w:tcPr>
          <w:p>
            <w:pPr>
              <w:spacing w:after="0" w:before="0" w:line="240" w:lineRule="auto"/>
            </w:pPr>
            <w:r>
              <w:rPr>
                <w:b/>
                <w:color w:val="000000"/>
                <w:sz w:val="18"/>
              </w:rPr>
              <w:t xml:space="preserve">Service outcomes</w:t>
            </w:r>
          </w:p>
        </w:tc>
        <w:tc>
          <w:tcPr>
            <w:tcW w:type="dxa" w:w="7724"/>
            <w:vAlign w:val="center"/>
          </w:tcPr>
          <w:p>
            <w:pPr>
              <w:spacing w:after="0" w:before="0" w:line="240" w:lineRule="auto"/>
            </w:pPr>
            <w:r>
              <w:rPr>
                <w:color w:val="000000"/>
                <w:sz w:val="18"/>
              </w:rPr>
              <w:t xml:space="preserve">For every item that needs a person or an agent, the time from when it became available (including any wait for its inputs) to completion is measured, split into blocked, queued, in-service and external time; unfinished items count as missing their target and the completion rate is reported. Each process has a service target (for example purchasing and payments within </w:t>
            </w:r>
            <w:r>
              <w:rPr>
                <w:color w:val="000000"/>
                <w:sz w:val="18"/>
                <w:highlight w:val="yellow"/>
              </w:rPr>
              <w:t xml:space="preserve">[3]</w:t>
            </w:r>
            <w:r>
              <w:rPr>
                <w:color w:val="000000"/>
                <w:sz w:val="18"/>
              </w:rPr>
              <w:t xml:space="preserve"> working days); the simulation reports the average, the P90 and the share completed within target, for each process and overall.</w:t>
            </w:r>
          </w:p>
        </w:tc>
      </w:tr>
      <w:tr>
        <w:trPr>
          <w:cantSplit/>
        </w:trPr>
        <w:tc>
          <w:tcPr>
            <w:tcW w:type="dxa" w:w="2500"/>
            <w:vAlign w:val="center"/>
          </w:tcPr>
          <w:p>
            <w:pPr>
              <w:spacing w:after="0" w:before="0" w:line="240" w:lineRule="auto"/>
            </w:pPr>
            <w:r>
              <w:rPr>
                <w:b/>
                <w:color w:val="000000"/>
                <w:sz w:val="18"/>
              </w:rPr>
              <w:t xml:space="preserve">Effort measures</w:t>
            </w:r>
          </w:p>
        </w:tc>
        <w:tc>
          <w:tcPr>
            <w:tcW w:type="dxa" w:w="7724"/>
            <w:vAlign w:val="center"/>
          </w:tcPr>
          <w:p>
            <w:pPr>
              <w:spacing w:after="0" w:before="0" w:line="240" w:lineRule="auto"/>
            </w:pPr>
            <w:r>
              <w:rPr>
                <w:color w:val="000000"/>
                <w:sz w:val="18"/>
              </w:rPr>
              <w:t xml:space="preserve">Standard effort (planned task minutes, excluding rework and time variation), service requested (including rework and time variation), delivered effort (worked within the month), queued and remaining effort are kept separately. Savings compare service requested and are shown as FTE-equivalents, not removable headcount. Finance team totals cover five roles; whole-office totals add the Financial Controller and CFO.</w:t>
            </w:r>
          </w:p>
        </w:tc>
      </w:tr>
      <w:tr>
        <w:trPr>
          <w:cantSplit/>
        </w:trPr>
        <w:tc>
          <w:tcPr>
            <w:tcW w:type="dxa" w:w="2500"/>
            <w:vAlign w:val="center"/>
          </w:tcPr>
          <w:p>
            <w:pPr>
              <w:spacing w:after="0" w:before="0" w:line="240" w:lineRule="auto"/>
            </w:pPr>
            <w:r>
              <w:rPr>
                <w:b/>
                <w:color w:val="000000"/>
                <w:sz w:val="18"/>
              </w:rPr>
              <w:t xml:space="preserve">Deadlines</w:t>
            </w:r>
          </w:p>
        </w:tc>
        <w:tc>
          <w:tcPr>
            <w:tcW w:type="dxa" w:w="7724"/>
            <w:vAlign w:val="center"/>
          </w:tcPr>
          <w:p>
            <w:pPr>
              <w:spacing w:after="0" w:before="0" w:line="240" w:lineRule="auto"/>
            </w:pPr>
            <w:r>
              <w:rPr>
                <w:color w:val="000000"/>
                <w:sz w:val="18"/>
              </w:rPr>
              <w:t xml:space="preserve">Statutory and tax obligations carry their calendar due date (PAYE and pensions by the 22nd, VAT one month and seven days after the quarter, P11Ds by 6 July, corporation tax nine months and one day after the year-end, the return at 12 months, accounts filing at nine months). Each is measured on time or late from events and reported in the comparison and workload views.</w:t>
            </w:r>
          </w:p>
        </w:tc>
      </w:tr>
      <w:tr>
        <w:trPr>
          <w:cantSplit/>
        </w:trPr>
        <w:tc>
          <w:tcPr>
            <w:tcW w:type="dxa" w:w="2500"/>
            <w:vAlign w:val="center"/>
          </w:tcPr>
          <w:p>
            <w:pPr>
              <w:spacing w:after="0" w:before="0" w:line="240" w:lineRule="auto"/>
            </w:pPr>
            <w:r>
              <w:rPr>
                <w:b/>
                <w:color w:val="000000"/>
                <w:sz w:val="18"/>
              </w:rPr>
              <w:t xml:space="preserve">Comparisons</w:t>
            </w:r>
          </w:p>
        </w:tc>
        <w:tc>
          <w:tcPr>
            <w:tcW w:type="dxa" w:w="7724"/>
            <w:vAlign w:val="center"/>
          </w:tcPr>
          <w:p>
            <w:pPr>
              <w:spacing w:after="0" w:before="0" w:line="240" w:lineRule="auto"/>
            </w:pPr>
            <w:r>
              <w:rPr>
                <w:color w:val="000000"/>
                <w:sz w:val="18"/>
              </w:rPr>
              <w:t xml:space="preserve">Each run records its provenance (month, opening state, seed, variability, options and a fingerprint of every input). The comparison, statements and workload-shift views only compare runs with the same provenance; otherwise they say why and hide the differences.</w:t>
            </w:r>
          </w:p>
        </w:tc>
      </w:tr>
      <w:tr>
        <w:trPr>
          <w:cantSplit/>
        </w:trPr>
        <w:tc>
          <w:tcPr>
            <w:tcW w:type="dxa" w:w="2500"/>
            <w:vAlign w:val="center"/>
          </w:tcPr>
          <w:p>
            <w:pPr>
              <w:spacing w:after="0" w:before="0" w:line="240" w:lineRule="auto"/>
            </w:pPr>
            <w:r>
              <w:rPr>
                <w:b/>
                <w:color w:val="000000"/>
                <w:sz w:val="18"/>
              </w:rPr>
              <w:t xml:space="preserve">Workload and capacity</w:t>
            </w:r>
          </w:p>
        </w:tc>
        <w:tc>
          <w:tcPr>
            <w:tcW w:type="dxa" w:w="7724"/>
            <w:vAlign w:val="center"/>
          </w:tcPr>
          <w:p>
            <w:pPr>
              <w:spacing w:after="0" w:before="0" w:line="240" w:lineRule="auto"/>
            </w:pPr>
            <w:r>
              <w:rPr>
                <w:color w:val="000000"/>
                <w:sz w:val="18"/>
              </w:rPr>
              <w:t xml:space="preserve">For every person, agent and system: delivered task hours, other work and deferred other work, capacity net of absence and outages, the share used, the average wait before work starts, the most items waiting at once and days unavailable.</w:t>
            </w:r>
          </w:p>
        </w:tc>
      </w:tr>
      <w:tr>
        <w:trPr>
          <w:cantSplit/>
        </w:trPr>
        <w:tc>
          <w:tcPr>
            <w:tcW w:type="dxa" w:w="2500"/>
            <w:vAlign w:val="center"/>
          </w:tcPr>
          <w:p>
            <w:pPr>
              <w:spacing w:after="0" w:before="0" w:line="240" w:lineRule="auto"/>
            </w:pPr>
            <w:r>
              <w:rPr>
                <w:b/>
                <w:color w:val="000000"/>
                <w:sz w:val="18"/>
              </w:rPr>
              <w:t xml:space="preserve">Model check</w:t>
            </w:r>
          </w:p>
        </w:tc>
        <w:tc>
          <w:tcPr>
            <w:tcW w:type="dxa" w:w="7724"/>
            <w:vAlign w:val="center"/>
          </w:tcPr>
          <w:p>
            <w:pPr>
              <w:spacing w:after="0" w:before="0" w:line="240" w:lineRule="auto"/>
            </w:pPr>
            <w:r>
              <w:rPr>
                <w:color w:val="000000"/>
                <w:sz w:val="18"/>
              </w:rPr>
              <w:t xml:space="preserve">Today’s simulated close and pack days are compared with the actual timetable. If they differ, headcount, other work or task times should be adjusted until today matches before the comparison is relied on.</w:t>
            </w:r>
          </w:p>
        </w:tc>
      </w:tr>
      <w:tr>
        <w:trPr>
          <w:cantSplit/>
        </w:trPr>
        <w:tc>
          <w:tcPr>
            <w:tcW w:type="dxa" w:w="2500"/>
            <w:vAlign w:val="center"/>
          </w:tcPr>
          <w:p>
            <w:pPr>
              <w:spacing w:after="0" w:before="0" w:line="240" w:lineRule="auto"/>
            </w:pPr>
            <w:r>
              <w:rPr>
                <w:b/>
                <w:color w:val="000000"/>
                <w:sz w:val="18"/>
              </w:rPr>
              <w:t xml:space="preserve">Time used</w:t>
            </w:r>
          </w:p>
        </w:tc>
        <w:tc>
          <w:tcPr>
            <w:tcW w:type="dxa" w:w="7724"/>
            <w:vAlign w:val="center"/>
          </w:tcPr>
          <w:p>
            <w:pPr>
              <w:spacing w:after="0" w:before="0" w:line="240" w:lineRule="auto"/>
            </w:pPr>
            <w:r>
              <w:rPr>
                <w:color w:val="000000"/>
                <w:sz w:val="18"/>
              </w:rPr>
              <w:t xml:space="preserve">For each role, (hours on modelled tasks + other work) ÷ hours available. Above 95% a role is overloaded: queues build and deadlines slip.</w:t>
            </w:r>
          </w:p>
        </w:tc>
      </w:tr>
      <w:tr>
        <w:trPr>
          <w:cantSplit/>
        </w:trPr>
        <w:tc>
          <w:tcPr>
            <w:tcW w:type="dxa" w:w="2500"/>
            <w:vAlign w:val="center"/>
          </w:tcPr>
          <w:p>
            <w:pPr>
              <w:spacing w:after="0" w:before="0" w:line="240" w:lineRule="auto"/>
            </w:pPr>
            <w:r>
              <w:rPr>
                <w:b/>
                <w:color w:val="000000"/>
                <w:sz w:val="18"/>
              </w:rPr>
              <w:t xml:space="preserve">Agent steps</w:t>
            </w:r>
          </w:p>
        </w:tc>
        <w:tc>
          <w:tcPr>
            <w:tcW w:type="dxa" w:w="7724"/>
            <w:vAlign w:val="center"/>
          </w:tcPr>
          <w:p>
            <w:pPr>
              <w:spacing w:after="0" w:before="0" w:line="240" w:lineRule="auto"/>
            </w:pPr>
            <w:r>
              <w:rPr>
                <w:color w:val="000000"/>
                <w:sz w:val="18"/>
              </w:rPr>
              <w:t xml:space="preserve">Every time a piece of work reaches an agent, one step per item is counted. With the cost per step, this drives agent running costs.</w:t>
            </w:r>
          </w:p>
        </w:tc>
      </w:tr>
      <w:tr>
        <w:trPr>
          <w:cantSplit/>
        </w:trPr>
        <w:tc>
          <w:tcPr>
            <w:tcW w:type="dxa" w:w="2500"/>
            <w:vAlign w:val="center"/>
          </w:tcPr>
          <w:p>
            <w:pPr>
              <w:spacing w:after="0" w:before="0" w:line="240" w:lineRule="auto"/>
            </w:pPr>
            <w:r>
              <w:rPr>
                <w:b/>
                <w:color w:val="000000"/>
                <w:sz w:val="18"/>
              </w:rPr>
              <w:t xml:space="preserve">Task table</w:t>
            </w:r>
          </w:p>
        </w:tc>
        <w:tc>
          <w:tcPr>
            <w:tcW w:type="dxa" w:w="7724"/>
            <w:vAlign w:val="center"/>
          </w:tcPr>
          <w:p>
            <w:pPr>
              <w:spacing w:after="0" w:before="0" w:line="240" w:lineRule="auto"/>
            </w:pPr>
            <w:r>
              <w:rPr>
                <w:color w:val="000000"/>
                <w:sz w:val="18"/>
              </w:rPr>
              <w:t xml:space="preserve">Every task the simulation runs is listed and editable for each model without changing code: the working days it runs on, items a month, who does each step and for how many minutes per item, agent minutes and acceptance, and what it waits for. New tasks can be added with a schedule, people, minutes and an optional agent. The whole set of inputs can be saved to a scenario file and loaded again.</w:t>
            </w:r>
          </w:p>
        </w:tc>
      </w:tr>
    </w:tbl>
    <w:p>
      <w:pPr>
        <w:pStyle w:val="Title"/>
        <w:pageBreakBefore/>
      </w:pPr>
      <w:r>
        <w:t>CFO office process guide</w:t>
      </w:r>
    </w:p>
    <w:p>
      <w:pPr>
        <w:pStyle w:val="Heading1"/>
      </w:pPr>
      <w:r>
        <w:t xml:space="preserve">Calendar and variability</w:t>
      </w:r>
    </w:p>
    <w:p>
      <w:pPr>
        <w:pStyle w:val="Heading2"/>
      </w:pPr>
      <w:r>
        <w:t xml:space="preserve">Calendar rules (editable on the page)</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600"/>
        <w:gridCol w:w="6624"/>
      </w:tblGrid>
      <w:tr>
        <w:trPr>
          <w:tblHeader/>
        </w:trPr>
        <w:tc>
          <w:tcPr>
            <w:tcW w:type="dxa" w:w="3600"/>
            <w:shd w:val="clear" w:color="auto" w:fill="DCE6F1"/>
            <w:vAlign w:val="center"/>
          </w:tcPr>
          <w:p>
            <w:pPr>
              <w:spacing w:after="0" w:before="0" w:line="240" w:lineRule="auto"/>
            </w:pPr>
            <w:r>
              <w:rPr>
                <w:b/>
                <w:color w:val="000000"/>
                <w:sz w:val="18"/>
              </w:rPr>
              <w:t xml:space="preserve">Setting</w:t>
            </w:r>
          </w:p>
        </w:tc>
        <w:tc>
          <w:tcPr>
            <w:tcW w:type="dxa" w:w="6624"/>
            <w:shd w:val="clear" w:color="auto" w:fill="DCE6F1"/>
            <w:vAlign w:val="center"/>
          </w:tcPr>
          <w:p>
            <w:pPr>
              <w:spacing w:after="0" w:before="0" w:line="240" w:lineRule="auto"/>
            </w:pPr>
            <w:r>
              <w:rPr>
                <w:b/>
                <w:color w:val="000000"/>
                <w:sz w:val="18"/>
              </w:rPr>
              <w:t xml:space="preserve">Default</w:t>
            </w:r>
          </w:p>
        </w:tc>
      </w:tr>
      <w:tr>
        <w:trPr>
          <w:cantSplit/>
        </w:trPr>
        <w:tc>
          <w:tcPr>
            <w:tcW w:type="dxa" w:w="3600"/>
            <w:vAlign w:val="center"/>
          </w:tcPr>
          <w:p>
            <w:pPr>
              <w:spacing w:after="0" w:before="0" w:line="240" w:lineRule="auto"/>
            </w:pPr>
            <w:r>
              <w:rPr>
                <w:b/>
                <w:color w:val="000000"/>
                <w:sz w:val="18"/>
              </w:rPr>
              <w:t xml:space="preserve">Financial year</w:t>
            </w:r>
          </w:p>
        </w:tc>
        <w:tc>
          <w:tcPr>
            <w:tcW w:type="dxa" w:w="6624"/>
            <w:vAlign w:val="center"/>
          </w:tcPr>
          <w:p>
            <w:pPr>
              <w:spacing w:after="0" w:before="0" w:line="240" w:lineRule="auto"/>
            </w:pPr>
            <w:r>
              <w:rPr>
                <w:color w:val="000000"/>
                <w:sz w:val="18"/>
              </w:rPr>
              <w:t xml:space="preserve">January to December </w:t>
            </w:r>
            <w:r>
              <w:rPr>
                <w:color w:val="000000"/>
                <w:sz w:val="18"/>
                <w:highlight w:val="yellow"/>
              </w:rPr>
              <w:t xml:space="preserve">[2026]</w:t>
            </w:r>
          </w:p>
        </w:tc>
      </w:tr>
      <w:tr>
        <w:trPr>
          <w:cantSplit/>
        </w:trPr>
        <w:tc>
          <w:tcPr>
            <w:tcW w:type="dxa" w:w="3600"/>
            <w:vAlign w:val="center"/>
          </w:tcPr>
          <w:p>
            <w:pPr>
              <w:spacing w:after="0" w:before="0" w:line="240" w:lineRule="auto"/>
            </w:pPr>
            <w:r>
              <w:rPr>
                <w:b/>
                <w:color w:val="000000"/>
                <w:sz w:val="18"/>
              </w:rPr>
              <w:t xml:space="preserve">Working days</w:t>
            </w:r>
          </w:p>
        </w:tc>
        <w:tc>
          <w:tcPr>
            <w:tcW w:type="dxa" w:w="6624"/>
            <w:vAlign w:val="center"/>
          </w:tcPr>
          <w:p>
            <w:pPr>
              <w:spacing w:after="0" w:before="0" w:line="240" w:lineRule="auto"/>
            </w:pPr>
            <w:r>
              <w:rPr>
                <w:color w:val="000000"/>
                <w:sz w:val="18"/>
              </w:rPr>
              <w:t xml:space="preserve">Monday to Friday, less England and Wales bank holidays for 2026 and 2027 </w:t>
            </w:r>
            <w:r>
              <w:rPr>
                <w:color w:val="000000"/>
                <w:sz w:val="18"/>
                <w:highlight w:val="yellow"/>
              </w:rPr>
              <w:t xml:space="preserve">[check against gov.uk]</w:t>
            </w:r>
          </w:p>
        </w:tc>
      </w:tr>
      <w:tr>
        <w:trPr>
          <w:cantSplit/>
        </w:trPr>
        <w:tc>
          <w:tcPr>
            <w:tcW w:type="dxa" w:w="3600"/>
            <w:vAlign w:val="center"/>
          </w:tcPr>
          <w:p>
            <w:pPr>
              <w:spacing w:after="0" w:before="0" w:line="240" w:lineRule="auto"/>
            </w:pPr>
            <w:r>
              <w:rPr>
                <w:b/>
                <w:color w:val="000000"/>
                <w:sz w:val="18"/>
              </w:rPr>
              <w:t xml:space="preserve">Quarter-end and year-end work</w:t>
            </w:r>
          </w:p>
        </w:tc>
        <w:tc>
          <w:tcPr>
            <w:tcW w:type="dxa" w:w="6624"/>
            <w:vAlign w:val="center"/>
          </w:tcPr>
          <w:p>
            <w:pPr>
              <w:spacing w:after="0" w:before="0" w:line="240" w:lineRule="auto"/>
            </w:pPr>
            <w:r>
              <w:rPr>
                <w:color w:val="000000"/>
                <w:sz w:val="18"/>
              </w:rPr>
              <w:t xml:space="preserve">In the month after each quarter end and after the year end</w:t>
            </w:r>
          </w:p>
        </w:tc>
      </w:tr>
      <w:tr>
        <w:trPr>
          <w:cantSplit/>
        </w:trPr>
        <w:tc>
          <w:tcPr>
            <w:tcW w:type="dxa" w:w="3600"/>
            <w:vAlign w:val="center"/>
          </w:tcPr>
          <w:p>
            <w:pPr>
              <w:spacing w:after="0" w:before="0" w:line="240" w:lineRule="auto"/>
            </w:pPr>
            <w:r>
              <w:rPr>
                <w:b/>
                <w:color w:val="000000"/>
                <w:sz w:val="18"/>
              </w:rPr>
              <w:t xml:space="preserve">VAT returns</w:t>
            </w:r>
          </w:p>
        </w:tc>
        <w:tc>
          <w:tcPr>
            <w:tcW w:type="dxa" w:w="6624"/>
            <w:vAlign w:val="center"/>
          </w:tcPr>
          <w:p>
            <w:pPr>
              <w:spacing w:after="0" w:before="0" w:line="240" w:lineRule="auto"/>
            </w:pPr>
            <w:r>
              <w:rPr>
                <w:color w:val="000000"/>
                <w:sz w:val="18"/>
              </w:rPr>
              <w:t xml:space="preserve">Quarters ending March, June, September, December; return prepared in the following month</w:t>
            </w:r>
          </w:p>
        </w:tc>
      </w:tr>
      <w:tr>
        <w:trPr>
          <w:cantSplit/>
        </w:trPr>
        <w:tc>
          <w:tcPr>
            <w:tcW w:type="dxa" w:w="3600"/>
            <w:vAlign w:val="center"/>
          </w:tcPr>
          <w:p>
            <w:pPr>
              <w:spacing w:after="0" w:before="0" w:line="240" w:lineRule="auto"/>
            </w:pPr>
            <w:r>
              <w:rPr>
                <w:b/>
                <w:color w:val="000000"/>
                <w:sz w:val="18"/>
              </w:rPr>
              <w:t xml:space="preserve">Board meetings</w:t>
            </w:r>
          </w:p>
        </w:tc>
        <w:tc>
          <w:tcPr>
            <w:tcW w:type="dxa" w:w="6624"/>
            <w:vAlign w:val="center"/>
          </w:tcPr>
          <w:p>
            <w:pPr>
              <w:spacing w:after="0" w:before="0" w:line="240" w:lineRule="auto"/>
            </w:pPr>
            <w:r>
              <w:rPr>
                <w:color w:val="000000"/>
                <w:sz w:val="18"/>
              </w:rPr>
              <w:t xml:space="preserve">January, April, July, October</w:t>
            </w:r>
          </w:p>
        </w:tc>
      </w:tr>
      <w:tr>
        <w:trPr>
          <w:cantSplit/>
        </w:trPr>
        <w:tc>
          <w:tcPr>
            <w:tcW w:type="dxa" w:w="3600"/>
            <w:vAlign w:val="center"/>
          </w:tcPr>
          <w:p>
            <w:pPr>
              <w:spacing w:after="0" w:before="0" w:line="240" w:lineRule="auto"/>
            </w:pPr>
            <w:r>
              <w:rPr>
                <w:b/>
                <w:color w:val="000000"/>
                <w:sz w:val="18"/>
              </w:rPr>
              <w:t xml:space="preserve">Annual budget</w:t>
            </w:r>
          </w:p>
        </w:tc>
        <w:tc>
          <w:tcPr>
            <w:tcW w:type="dxa" w:w="6624"/>
            <w:vAlign w:val="center"/>
          </w:tcPr>
          <w:p>
            <w:pPr>
              <w:spacing w:after="0" w:before="0" w:line="240" w:lineRule="auto"/>
            </w:pPr>
            <w:r>
              <w:rPr>
                <w:color w:val="000000"/>
                <w:sz w:val="18"/>
              </w:rPr>
              <w:t xml:space="preserve">Last month of the financial year (compresses the real three-month cycle into one month)</w:t>
            </w:r>
          </w:p>
        </w:tc>
      </w:tr>
      <w:tr>
        <w:trPr>
          <w:cantSplit/>
        </w:trPr>
        <w:tc>
          <w:tcPr>
            <w:tcW w:type="dxa" w:w="3600"/>
            <w:vAlign w:val="center"/>
          </w:tcPr>
          <w:p>
            <w:pPr>
              <w:spacing w:after="0" w:before="0" w:line="240" w:lineRule="auto"/>
            </w:pPr>
            <w:r>
              <w:rPr>
                <w:b/>
                <w:color w:val="000000"/>
                <w:sz w:val="18"/>
              </w:rPr>
              <w:t xml:space="preserve">P11Ds, insurance renewal, pension re-enrolment</w:t>
            </w:r>
          </w:p>
        </w:tc>
        <w:tc>
          <w:tcPr>
            <w:tcW w:type="dxa" w:w="6624"/>
            <w:vAlign w:val="center"/>
          </w:tcPr>
          <w:p>
            <w:pPr>
              <w:spacing w:after="0" w:before="0" w:line="240" w:lineRule="auto"/>
            </w:pPr>
            <w:r>
              <w:rPr>
                <w:color w:val="000000"/>
                <w:sz w:val="18"/>
              </w:rPr>
              <w:t xml:space="preserve">July</w:t>
            </w:r>
          </w:p>
        </w:tc>
      </w:tr>
      <w:tr>
        <w:trPr>
          <w:cantSplit/>
        </w:trPr>
        <w:tc>
          <w:tcPr>
            <w:tcW w:type="dxa" w:w="3600"/>
            <w:vAlign w:val="center"/>
          </w:tcPr>
          <w:p>
            <w:pPr>
              <w:spacing w:after="0" w:before="0" w:line="240" w:lineRule="auto"/>
            </w:pPr>
            <w:r>
              <w:rPr>
                <w:b/>
                <w:color w:val="000000"/>
                <w:sz w:val="18"/>
              </w:rPr>
              <w:t xml:space="preserve">Supplier payment runs</w:t>
            </w:r>
          </w:p>
        </w:tc>
        <w:tc>
          <w:tcPr>
            <w:tcW w:type="dxa" w:w="6624"/>
            <w:vAlign w:val="center"/>
          </w:tcPr>
          <w:p>
            <w:pPr>
              <w:spacing w:after="0" w:before="0" w:line="240" w:lineRule="auto"/>
            </w:pPr>
            <w:r>
              <w:rPr>
                <w:color w:val="000000"/>
                <w:sz w:val="18"/>
              </w:rPr>
              <w:t xml:space="preserve">Tuesday each week</w:t>
            </w:r>
          </w:p>
        </w:tc>
      </w:tr>
      <w:tr>
        <w:trPr>
          <w:cantSplit/>
        </w:trPr>
        <w:tc>
          <w:tcPr>
            <w:tcW w:type="dxa" w:w="3600"/>
            <w:vAlign w:val="center"/>
          </w:tcPr>
          <w:p>
            <w:pPr>
              <w:spacing w:after="0" w:before="0" w:line="240" w:lineRule="auto"/>
            </w:pPr>
            <w:r>
              <w:rPr>
                <w:b/>
                <w:color w:val="000000"/>
                <w:sz w:val="18"/>
              </w:rPr>
              <w:t xml:space="preserve">Weekly KPI report and leadership meeting</w:t>
            </w:r>
          </w:p>
        </w:tc>
        <w:tc>
          <w:tcPr>
            <w:tcW w:type="dxa" w:w="6624"/>
            <w:vAlign w:val="center"/>
          </w:tcPr>
          <w:p>
            <w:pPr>
              <w:spacing w:after="0" w:before="0" w:line="240" w:lineRule="auto"/>
            </w:pPr>
            <w:r>
              <w:rPr>
                <w:color w:val="000000"/>
                <w:sz w:val="18"/>
              </w:rPr>
              <w:t xml:space="preserve">Monday</w:t>
            </w:r>
          </w:p>
        </w:tc>
      </w:tr>
      <w:tr>
        <w:trPr>
          <w:cantSplit/>
        </w:trPr>
        <w:tc>
          <w:tcPr>
            <w:tcW w:type="dxa" w:w="3600"/>
            <w:vAlign w:val="center"/>
          </w:tcPr>
          <w:p>
            <w:pPr>
              <w:spacing w:after="0" w:before="0" w:line="240" w:lineRule="auto"/>
            </w:pPr>
            <w:r>
              <w:rPr>
                <w:b/>
                <w:color w:val="000000"/>
                <w:sz w:val="18"/>
              </w:rPr>
              <w:t xml:space="preserve">Weekly bank reconciliation</w:t>
            </w:r>
          </w:p>
        </w:tc>
        <w:tc>
          <w:tcPr>
            <w:tcW w:type="dxa" w:w="6624"/>
            <w:vAlign w:val="center"/>
          </w:tcPr>
          <w:p>
            <w:pPr>
              <w:spacing w:after="0" w:before="0" w:line="240" w:lineRule="auto"/>
            </w:pPr>
            <w:r>
              <w:rPr>
                <w:color w:val="000000"/>
                <w:sz w:val="18"/>
              </w:rPr>
              <w:t xml:space="preserve">Friday</w:t>
            </w:r>
          </w:p>
        </w:tc>
      </w:tr>
      <w:tr>
        <w:trPr>
          <w:cantSplit/>
        </w:trPr>
        <w:tc>
          <w:tcPr>
            <w:tcW w:type="dxa" w:w="3600"/>
            <w:vAlign w:val="center"/>
          </w:tcPr>
          <w:p>
            <w:pPr>
              <w:spacing w:after="0" w:before="0" w:line="240" w:lineRule="auto"/>
            </w:pPr>
            <w:r>
              <w:rPr>
                <w:b/>
                <w:color w:val="000000"/>
                <w:sz w:val="18"/>
              </w:rPr>
              <w:t xml:space="preserve">Payroll</w:t>
            </w:r>
          </w:p>
        </w:tc>
        <w:tc>
          <w:tcPr>
            <w:tcW w:type="dxa" w:w="6624"/>
            <w:vAlign w:val="center"/>
          </w:tcPr>
          <w:p>
            <w:pPr>
              <w:spacing w:after="0" w:before="0" w:line="240" w:lineRule="auto"/>
            </w:pPr>
            <w:r>
              <w:rPr>
                <w:color w:val="000000"/>
                <w:sz w:val="18"/>
              </w:rPr>
              <w:t xml:space="preserve">Paid on the last working day; changes five working days before; check two days before</w:t>
            </w:r>
          </w:p>
        </w:tc>
      </w:tr>
    </w:tbl>
    <w:p>
      <w:pPr>
        <w:pStyle w:val="Heading2"/>
      </w:pPr>
      <w:r>
        <w:t xml:space="preserve">Seasonality and planned leave by month</w:t>
      </w:r>
    </w:p>
    <w:tbl>
      <w:tblPr>
        <w:tblW w:type="dxa" w:w="10220"/>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600"/>
        <w:gridCol w:w="635"/>
        <w:gridCol w:w="635"/>
        <w:gridCol w:w="635"/>
        <w:gridCol w:w="635"/>
        <w:gridCol w:w="635"/>
        <w:gridCol w:w="635"/>
        <w:gridCol w:w="635"/>
        <w:gridCol w:w="635"/>
        <w:gridCol w:w="635"/>
        <w:gridCol w:w="635"/>
        <w:gridCol w:w="635"/>
        <w:gridCol w:w="635"/>
      </w:tblGrid>
      <w:tr>
        <w:trPr>
          <w:tblHeader/>
        </w:trPr>
        <w:tc>
          <w:tcPr>
            <w:tcW w:type="dxa" w:w="2600"/>
            <w:shd w:val="clear" w:color="auto" w:fill="DCE6F1"/>
            <w:vAlign w:val="center"/>
          </w:tcPr>
          <w:p>
            <w:pPr>
              <w:spacing w:after="0" w:before="0" w:line="240" w:lineRule="auto"/>
            </w:pPr>
          </w:p>
        </w:tc>
        <w:tc>
          <w:tcPr>
            <w:tcW w:type="dxa" w:w="635"/>
            <w:shd w:val="clear" w:color="auto" w:fill="DCE6F1"/>
            <w:vAlign w:val="center"/>
          </w:tcPr>
          <w:p>
            <w:pPr>
              <w:spacing w:after="0" w:before="0" w:line="240" w:lineRule="auto"/>
            </w:pPr>
            <w:r>
              <w:rPr>
                <w:b/>
                <w:color w:val="000000"/>
                <w:sz w:val="16"/>
              </w:rPr>
              <w:t xml:space="preserve">Jan</w:t>
            </w:r>
          </w:p>
        </w:tc>
        <w:tc>
          <w:tcPr>
            <w:tcW w:type="dxa" w:w="635"/>
            <w:shd w:val="clear" w:color="auto" w:fill="DCE6F1"/>
            <w:vAlign w:val="center"/>
          </w:tcPr>
          <w:p>
            <w:pPr>
              <w:spacing w:after="0" w:before="0" w:line="240" w:lineRule="auto"/>
            </w:pPr>
            <w:r>
              <w:rPr>
                <w:b/>
                <w:color w:val="000000"/>
                <w:sz w:val="16"/>
              </w:rPr>
              <w:t xml:space="preserve">Feb</w:t>
            </w:r>
          </w:p>
        </w:tc>
        <w:tc>
          <w:tcPr>
            <w:tcW w:type="dxa" w:w="635"/>
            <w:shd w:val="clear" w:color="auto" w:fill="DCE6F1"/>
            <w:vAlign w:val="center"/>
          </w:tcPr>
          <w:p>
            <w:pPr>
              <w:spacing w:after="0" w:before="0" w:line="240" w:lineRule="auto"/>
            </w:pPr>
            <w:r>
              <w:rPr>
                <w:b/>
                <w:color w:val="000000"/>
                <w:sz w:val="16"/>
              </w:rPr>
              <w:t xml:space="preserve">Mar</w:t>
            </w:r>
          </w:p>
        </w:tc>
        <w:tc>
          <w:tcPr>
            <w:tcW w:type="dxa" w:w="635"/>
            <w:shd w:val="clear" w:color="auto" w:fill="DCE6F1"/>
            <w:vAlign w:val="center"/>
          </w:tcPr>
          <w:p>
            <w:pPr>
              <w:spacing w:after="0" w:before="0" w:line="240" w:lineRule="auto"/>
            </w:pPr>
            <w:r>
              <w:rPr>
                <w:b/>
                <w:color w:val="000000"/>
                <w:sz w:val="16"/>
              </w:rPr>
              <w:t xml:space="preserve">Apr</w:t>
            </w:r>
          </w:p>
        </w:tc>
        <w:tc>
          <w:tcPr>
            <w:tcW w:type="dxa" w:w="635"/>
            <w:shd w:val="clear" w:color="auto" w:fill="DCE6F1"/>
            <w:vAlign w:val="center"/>
          </w:tcPr>
          <w:p>
            <w:pPr>
              <w:spacing w:after="0" w:before="0" w:line="240" w:lineRule="auto"/>
            </w:pPr>
            <w:r>
              <w:rPr>
                <w:b/>
                <w:color w:val="000000"/>
                <w:sz w:val="16"/>
              </w:rPr>
              <w:t xml:space="preserve">May</w:t>
            </w:r>
          </w:p>
        </w:tc>
        <w:tc>
          <w:tcPr>
            <w:tcW w:type="dxa" w:w="635"/>
            <w:shd w:val="clear" w:color="auto" w:fill="DCE6F1"/>
            <w:vAlign w:val="center"/>
          </w:tcPr>
          <w:p>
            <w:pPr>
              <w:spacing w:after="0" w:before="0" w:line="240" w:lineRule="auto"/>
            </w:pPr>
            <w:r>
              <w:rPr>
                <w:b/>
                <w:color w:val="000000"/>
                <w:sz w:val="16"/>
              </w:rPr>
              <w:t xml:space="preserve">Jun</w:t>
            </w:r>
          </w:p>
        </w:tc>
        <w:tc>
          <w:tcPr>
            <w:tcW w:type="dxa" w:w="635"/>
            <w:shd w:val="clear" w:color="auto" w:fill="DCE6F1"/>
            <w:vAlign w:val="center"/>
          </w:tcPr>
          <w:p>
            <w:pPr>
              <w:spacing w:after="0" w:before="0" w:line="240" w:lineRule="auto"/>
            </w:pPr>
            <w:r>
              <w:rPr>
                <w:b/>
                <w:color w:val="000000"/>
                <w:sz w:val="16"/>
              </w:rPr>
              <w:t xml:space="preserve">Jul</w:t>
            </w:r>
          </w:p>
        </w:tc>
        <w:tc>
          <w:tcPr>
            <w:tcW w:type="dxa" w:w="635"/>
            <w:shd w:val="clear" w:color="auto" w:fill="DCE6F1"/>
            <w:vAlign w:val="center"/>
          </w:tcPr>
          <w:p>
            <w:pPr>
              <w:spacing w:after="0" w:before="0" w:line="240" w:lineRule="auto"/>
            </w:pPr>
            <w:r>
              <w:rPr>
                <w:b/>
                <w:color w:val="000000"/>
                <w:sz w:val="16"/>
              </w:rPr>
              <w:t xml:space="preserve">Aug</w:t>
            </w:r>
          </w:p>
        </w:tc>
        <w:tc>
          <w:tcPr>
            <w:tcW w:type="dxa" w:w="635"/>
            <w:shd w:val="clear" w:color="auto" w:fill="DCE6F1"/>
            <w:vAlign w:val="center"/>
          </w:tcPr>
          <w:p>
            <w:pPr>
              <w:spacing w:after="0" w:before="0" w:line="240" w:lineRule="auto"/>
            </w:pPr>
            <w:r>
              <w:rPr>
                <w:b/>
                <w:color w:val="000000"/>
                <w:sz w:val="16"/>
              </w:rPr>
              <w:t xml:space="preserve">Sep</w:t>
            </w:r>
          </w:p>
        </w:tc>
        <w:tc>
          <w:tcPr>
            <w:tcW w:type="dxa" w:w="635"/>
            <w:shd w:val="clear" w:color="auto" w:fill="DCE6F1"/>
            <w:vAlign w:val="center"/>
          </w:tcPr>
          <w:p>
            <w:pPr>
              <w:spacing w:after="0" w:before="0" w:line="240" w:lineRule="auto"/>
            </w:pPr>
            <w:r>
              <w:rPr>
                <w:b/>
                <w:color w:val="000000"/>
                <w:sz w:val="16"/>
              </w:rPr>
              <w:t xml:space="preserve">Oct</w:t>
            </w:r>
          </w:p>
        </w:tc>
        <w:tc>
          <w:tcPr>
            <w:tcW w:type="dxa" w:w="635"/>
            <w:shd w:val="clear" w:color="auto" w:fill="DCE6F1"/>
            <w:vAlign w:val="center"/>
          </w:tcPr>
          <w:p>
            <w:pPr>
              <w:spacing w:after="0" w:before="0" w:line="240" w:lineRule="auto"/>
            </w:pPr>
            <w:r>
              <w:rPr>
                <w:b/>
                <w:color w:val="000000"/>
                <w:sz w:val="16"/>
              </w:rPr>
              <w:t xml:space="preserve">Nov</w:t>
            </w:r>
          </w:p>
        </w:tc>
        <w:tc>
          <w:tcPr>
            <w:tcW w:type="dxa" w:w="635"/>
            <w:shd w:val="clear" w:color="auto" w:fill="DCE6F1"/>
            <w:vAlign w:val="center"/>
          </w:tcPr>
          <w:p>
            <w:pPr>
              <w:spacing w:after="0" w:before="0" w:line="240" w:lineRule="auto"/>
            </w:pPr>
            <w:r>
              <w:rPr>
                <w:b/>
                <w:color w:val="000000"/>
                <w:sz w:val="16"/>
              </w:rPr>
              <w:t xml:space="preserve">Dec</w:t>
            </w:r>
          </w:p>
        </w:tc>
      </w:tr>
      <w:tr>
        <w:trPr>
          <w:cantSplit/>
        </w:trPr>
        <w:tc>
          <w:tcPr>
            <w:tcW w:type="dxa" w:w="2600"/>
            <w:vAlign w:val="center"/>
          </w:tcPr>
          <w:p>
            <w:pPr>
              <w:spacing w:after="0" w:before="0" w:line="240" w:lineRule="auto"/>
            </w:pPr>
            <w:r>
              <w:rPr>
                <w:b/>
                <w:color w:val="000000"/>
                <w:sz w:val="16"/>
              </w:rPr>
              <w:t xml:space="preserve">Volume factor</w:t>
            </w:r>
          </w:p>
        </w:tc>
        <w:tc>
          <w:tcPr>
            <w:tcW w:type="dxa" w:w="635"/>
            <w:vAlign w:val="center"/>
          </w:tcPr>
          <w:p>
            <w:pPr>
              <w:spacing w:after="0" w:before="0" w:line="240" w:lineRule="auto"/>
            </w:pPr>
            <w:r>
              <w:rPr>
                <w:color w:val="000000"/>
                <w:sz w:val="16"/>
                <w:highlight w:val="yellow"/>
              </w:rPr>
              <w:t xml:space="preserve">[0.95]</w:t>
            </w:r>
          </w:p>
        </w:tc>
        <w:tc>
          <w:tcPr>
            <w:tcW w:type="dxa" w:w="635"/>
            <w:vAlign w:val="center"/>
          </w:tcPr>
          <w:p>
            <w:pPr>
              <w:spacing w:after="0" w:before="0" w:line="240" w:lineRule="auto"/>
            </w:pPr>
            <w:r>
              <w:rPr>
                <w:color w:val="000000"/>
                <w:sz w:val="16"/>
                <w:highlight w:val="yellow"/>
              </w:rPr>
              <w:t xml:space="preserve">[0.95]</w:t>
            </w:r>
          </w:p>
        </w:tc>
        <w:tc>
          <w:tcPr>
            <w:tcW w:type="dxa" w:w="635"/>
            <w:vAlign w:val="center"/>
          </w:tcPr>
          <w:p>
            <w:pPr>
              <w:spacing w:after="0" w:before="0" w:line="240" w:lineRule="auto"/>
            </w:pPr>
            <w:r>
              <w:rPr>
                <w:color w:val="000000"/>
                <w:sz w:val="16"/>
                <w:highlight w:val="yellow"/>
              </w:rPr>
              <w:t xml:space="preserve">[1.10]</w:t>
            </w:r>
          </w:p>
        </w:tc>
        <w:tc>
          <w:tcPr>
            <w:tcW w:type="dxa" w:w="635"/>
            <w:vAlign w:val="center"/>
          </w:tcPr>
          <w:p>
            <w:pPr>
              <w:spacing w:after="0" w:before="0" w:line="240" w:lineRule="auto"/>
            </w:pPr>
            <w:r>
              <w:rPr>
                <w:color w:val="000000"/>
                <w:sz w:val="16"/>
                <w:highlight w:val="yellow"/>
              </w:rPr>
              <w:t xml:space="preserve">[1.00]</w:t>
            </w:r>
          </w:p>
        </w:tc>
        <w:tc>
          <w:tcPr>
            <w:tcW w:type="dxa" w:w="635"/>
            <w:vAlign w:val="center"/>
          </w:tcPr>
          <w:p>
            <w:pPr>
              <w:spacing w:after="0" w:before="0" w:line="240" w:lineRule="auto"/>
            </w:pPr>
            <w:r>
              <w:rPr>
                <w:color w:val="000000"/>
                <w:sz w:val="16"/>
                <w:highlight w:val="yellow"/>
              </w:rPr>
              <w:t xml:space="preserve">[1.00]</w:t>
            </w:r>
          </w:p>
        </w:tc>
        <w:tc>
          <w:tcPr>
            <w:tcW w:type="dxa" w:w="635"/>
            <w:vAlign w:val="center"/>
          </w:tcPr>
          <w:p>
            <w:pPr>
              <w:spacing w:after="0" w:before="0" w:line="240" w:lineRule="auto"/>
            </w:pPr>
            <w:r>
              <w:rPr>
                <w:color w:val="000000"/>
                <w:sz w:val="16"/>
                <w:highlight w:val="yellow"/>
              </w:rPr>
              <w:t xml:space="preserve">[1.05]</w:t>
            </w:r>
          </w:p>
        </w:tc>
        <w:tc>
          <w:tcPr>
            <w:tcW w:type="dxa" w:w="635"/>
            <w:vAlign w:val="center"/>
          </w:tcPr>
          <w:p>
            <w:pPr>
              <w:spacing w:after="0" w:before="0" w:line="240" w:lineRule="auto"/>
            </w:pPr>
            <w:r>
              <w:rPr>
                <w:color w:val="000000"/>
                <w:sz w:val="16"/>
                <w:highlight w:val="yellow"/>
              </w:rPr>
              <w:t xml:space="preserve">[1.00]</w:t>
            </w:r>
          </w:p>
        </w:tc>
        <w:tc>
          <w:tcPr>
            <w:tcW w:type="dxa" w:w="635"/>
            <w:vAlign w:val="center"/>
          </w:tcPr>
          <w:p>
            <w:pPr>
              <w:spacing w:after="0" w:before="0" w:line="240" w:lineRule="auto"/>
            </w:pPr>
            <w:r>
              <w:rPr>
                <w:color w:val="000000"/>
                <w:sz w:val="16"/>
                <w:highlight w:val="yellow"/>
              </w:rPr>
              <w:t xml:space="preserve">[0.90]</w:t>
            </w:r>
          </w:p>
        </w:tc>
        <w:tc>
          <w:tcPr>
            <w:tcW w:type="dxa" w:w="635"/>
            <w:vAlign w:val="center"/>
          </w:tcPr>
          <w:p>
            <w:pPr>
              <w:spacing w:after="0" w:before="0" w:line="240" w:lineRule="auto"/>
            </w:pPr>
            <w:r>
              <w:rPr>
                <w:color w:val="000000"/>
                <w:sz w:val="16"/>
                <w:highlight w:val="yellow"/>
              </w:rPr>
              <w:t xml:space="preserve">[1.05]</w:t>
            </w:r>
          </w:p>
        </w:tc>
        <w:tc>
          <w:tcPr>
            <w:tcW w:type="dxa" w:w="635"/>
            <w:vAlign w:val="center"/>
          </w:tcPr>
          <w:p>
            <w:pPr>
              <w:spacing w:after="0" w:before="0" w:line="240" w:lineRule="auto"/>
            </w:pPr>
            <w:r>
              <w:rPr>
                <w:color w:val="000000"/>
                <w:sz w:val="16"/>
                <w:highlight w:val="yellow"/>
              </w:rPr>
              <w:t xml:space="preserve">[1.05]</w:t>
            </w:r>
          </w:p>
        </w:tc>
        <w:tc>
          <w:tcPr>
            <w:tcW w:type="dxa" w:w="635"/>
            <w:vAlign w:val="center"/>
          </w:tcPr>
          <w:p>
            <w:pPr>
              <w:spacing w:after="0" w:before="0" w:line="240" w:lineRule="auto"/>
            </w:pPr>
            <w:r>
              <w:rPr>
                <w:color w:val="000000"/>
                <w:sz w:val="16"/>
                <w:highlight w:val="yellow"/>
              </w:rPr>
              <w:t xml:space="preserve">[1.10]</w:t>
            </w:r>
          </w:p>
        </w:tc>
        <w:tc>
          <w:tcPr>
            <w:tcW w:type="dxa" w:w="635"/>
            <w:vAlign w:val="center"/>
          </w:tcPr>
          <w:p>
            <w:pPr>
              <w:spacing w:after="0" w:before="0" w:line="240" w:lineRule="auto"/>
            </w:pPr>
            <w:r>
              <w:rPr>
                <w:color w:val="000000"/>
                <w:sz w:val="16"/>
                <w:highlight w:val="yellow"/>
              </w:rPr>
              <w:t xml:space="preserve">[0.85]</w:t>
            </w:r>
          </w:p>
        </w:tc>
      </w:tr>
      <w:tr>
        <w:trPr>
          <w:cantSplit/>
        </w:trPr>
        <w:tc>
          <w:tcPr>
            <w:tcW w:type="dxa" w:w="2600"/>
            <w:vAlign w:val="center"/>
          </w:tcPr>
          <w:p>
            <w:pPr>
              <w:spacing w:after="0" w:before="0" w:line="240" w:lineRule="auto"/>
            </w:pPr>
            <w:r>
              <w:rPr>
                <w:b/>
                <w:color w:val="000000"/>
                <w:sz w:val="16"/>
              </w:rPr>
              <w:t xml:space="preserve">Planned leave (%)</w:t>
            </w:r>
          </w:p>
        </w:tc>
        <w:tc>
          <w:tcPr>
            <w:tcW w:type="dxa" w:w="635"/>
            <w:vAlign w:val="center"/>
          </w:tcPr>
          <w:p>
            <w:pPr>
              <w:spacing w:after="0" w:before="0" w:line="240" w:lineRule="auto"/>
            </w:pPr>
            <w:r>
              <w:rPr>
                <w:color w:val="000000"/>
                <w:sz w:val="16"/>
                <w:highlight w:val="yellow"/>
              </w:rPr>
              <w:t xml:space="preserve">[5]</w:t>
            </w:r>
          </w:p>
        </w:tc>
        <w:tc>
          <w:tcPr>
            <w:tcW w:type="dxa" w:w="635"/>
            <w:vAlign w:val="center"/>
          </w:tcPr>
          <w:p>
            <w:pPr>
              <w:spacing w:after="0" w:before="0" w:line="240" w:lineRule="auto"/>
            </w:pPr>
            <w:r>
              <w:rPr>
                <w:color w:val="000000"/>
                <w:sz w:val="16"/>
                <w:highlight w:val="yellow"/>
              </w:rPr>
              <w:t xml:space="preserve">[5]</w:t>
            </w:r>
          </w:p>
        </w:tc>
        <w:tc>
          <w:tcPr>
            <w:tcW w:type="dxa" w:w="635"/>
            <w:vAlign w:val="center"/>
          </w:tcPr>
          <w:p>
            <w:pPr>
              <w:spacing w:after="0" w:before="0" w:line="240" w:lineRule="auto"/>
            </w:pPr>
            <w:r>
              <w:rPr>
                <w:color w:val="000000"/>
                <w:sz w:val="16"/>
                <w:highlight w:val="yellow"/>
              </w:rPr>
              <w:t xml:space="preserve">[5]</w:t>
            </w:r>
          </w:p>
        </w:tc>
        <w:tc>
          <w:tcPr>
            <w:tcW w:type="dxa" w:w="635"/>
            <w:vAlign w:val="center"/>
          </w:tcPr>
          <w:p>
            <w:pPr>
              <w:spacing w:after="0" w:before="0" w:line="240" w:lineRule="auto"/>
            </w:pPr>
            <w:r>
              <w:rPr>
                <w:color w:val="000000"/>
                <w:sz w:val="16"/>
                <w:highlight w:val="yellow"/>
              </w:rPr>
              <w:t xml:space="preserve">[8]</w:t>
            </w:r>
          </w:p>
        </w:tc>
        <w:tc>
          <w:tcPr>
            <w:tcW w:type="dxa" w:w="635"/>
            <w:vAlign w:val="center"/>
          </w:tcPr>
          <w:p>
            <w:pPr>
              <w:spacing w:after="0" w:before="0" w:line="240" w:lineRule="auto"/>
            </w:pPr>
            <w:r>
              <w:rPr>
                <w:color w:val="000000"/>
                <w:sz w:val="16"/>
                <w:highlight w:val="yellow"/>
              </w:rPr>
              <w:t xml:space="preserve">[6]</w:t>
            </w:r>
          </w:p>
        </w:tc>
        <w:tc>
          <w:tcPr>
            <w:tcW w:type="dxa" w:w="635"/>
            <w:vAlign w:val="center"/>
          </w:tcPr>
          <w:p>
            <w:pPr>
              <w:spacing w:after="0" w:before="0" w:line="240" w:lineRule="auto"/>
            </w:pPr>
            <w:r>
              <w:rPr>
                <w:color w:val="000000"/>
                <w:sz w:val="16"/>
                <w:highlight w:val="yellow"/>
              </w:rPr>
              <w:t xml:space="preserve">[6]</w:t>
            </w:r>
          </w:p>
        </w:tc>
        <w:tc>
          <w:tcPr>
            <w:tcW w:type="dxa" w:w="635"/>
            <w:vAlign w:val="center"/>
          </w:tcPr>
          <w:p>
            <w:pPr>
              <w:spacing w:after="0" w:before="0" w:line="240" w:lineRule="auto"/>
            </w:pPr>
            <w:r>
              <w:rPr>
                <w:color w:val="000000"/>
                <w:sz w:val="16"/>
                <w:highlight w:val="yellow"/>
              </w:rPr>
              <w:t xml:space="preserve">[10]</w:t>
            </w:r>
          </w:p>
        </w:tc>
        <w:tc>
          <w:tcPr>
            <w:tcW w:type="dxa" w:w="635"/>
            <w:vAlign w:val="center"/>
          </w:tcPr>
          <w:p>
            <w:pPr>
              <w:spacing w:after="0" w:before="0" w:line="240" w:lineRule="auto"/>
            </w:pPr>
            <w:r>
              <w:rPr>
                <w:color w:val="000000"/>
                <w:sz w:val="16"/>
                <w:highlight w:val="yellow"/>
              </w:rPr>
              <w:t xml:space="preserve">[20]</w:t>
            </w:r>
          </w:p>
        </w:tc>
        <w:tc>
          <w:tcPr>
            <w:tcW w:type="dxa" w:w="635"/>
            <w:vAlign w:val="center"/>
          </w:tcPr>
          <w:p>
            <w:pPr>
              <w:spacing w:after="0" w:before="0" w:line="240" w:lineRule="auto"/>
            </w:pPr>
            <w:r>
              <w:rPr>
                <w:color w:val="000000"/>
                <w:sz w:val="16"/>
                <w:highlight w:val="yellow"/>
              </w:rPr>
              <w:t xml:space="preserve">[5]</w:t>
            </w:r>
          </w:p>
        </w:tc>
        <w:tc>
          <w:tcPr>
            <w:tcW w:type="dxa" w:w="635"/>
            <w:vAlign w:val="center"/>
          </w:tcPr>
          <w:p>
            <w:pPr>
              <w:spacing w:after="0" w:before="0" w:line="240" w:lineRule="auto"/>
            </w:pPr>
            <w:r>
              <w:rPr>
                <w:color w:val="000000"/>
                <w:sz w:val="16"/>
                <w:highlight w:val="yellow"/>
              </w:rPr>
              <w:t xml:space="preserve">[6]</w:t>
            </w:r>
          </w:p>
        </w:tc>
        <w:tc>
          <w:tcPr>
            <w:tcW w:type="dxa" w:w="635"/>
            <w:vAlign w:val="center"/>
          </w:tcPr>
          <w:p>
            <w:pPr>
              <w:spacing w:after="0" w:before="0" w:line="240" w:lineRule="auto"/>
            </w:pPr>
            <w:r>
              <w:rPr>
                <w:color w:val="000000"/>
                <w:sz w:val="16"/>
                <w:highlight w:val="yellow"/>
              </w:rPr>
              <w:t xml:space="preserve">[4]</w:t>
            </w:r>
          </w:p>
        </w:tc>
        <w:tc>
          <w:tcPr>
            <w:tcW w:type="dxa" w:w="635"/>
            <w:vAlign w:val="center"/>
          </w:tcPr>
          <w:p>
            <w:pPr>
              <w:spacing w:after="0" w:before="0" w:line="240" w:lineRule="auto"/>
            </w:pPr>
            <w:r>
              <w:rPr>
                <w:color w:val="000000"/>
                <w:sz w:val="16"/>
                <w:highlight w:val="yellow"/>
              </w:rPr>
              <w:t xml:space="preserve">[15]</w:t>
            </w:r>
          </w:p>
        </w:tc>
      </w:tr>
    </w:tbl>
    <w:p>
      <w:pPr>
        <w:pStyle w:val="Heading2"/>
      </w:pPr>
      <w:r>
        <w:t xml:space="preserve">Real-world variability (when switched on)</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8"/>
              </w:rPr>
              <w:t xml:space="preserve">Source of variation</w:t>
            </w:r>
          </w:p>
        </w:tc>
        <w:tc>
          <w:tcPr>
            <w:tcW w:type="dxa" w:w="3000"/>
            <w:shd w:val="clear" w:color="auto" w:fill="DCE6F1"/>
            <w:vAlign w:val="center"/>
          </w:tcPr>
          <w:p>
            <w:pPr>
              <w:spacing w:after="0" w:before="0" w:line="240" w:lineRule="auto"/>
            </w:pPr>
            <w:r>
              <w:rPr>
                <w:b/>
                <w:color w:val="000000"/>
                <w:sz w:val="18"/>
              </w:rPr>
              <w:t xml:space="preserve">Default</w:t>
            </w:r>
          </w:p>
        </w:tc>
      </w:tr>
      <w:tr>
        <w:trPr>
          <w:cantSplit/>
        </w:trPr>
        <w:tc>
          <w:tcPr>
            <w:tcW w:type="dxa" w:w="7224"/>
            <w:vAlign w:val="center"/>
          </w:tcPr>
          <w:p>
            <w:pPr>
              <w:spacing w:after="0" w:before="0" w:line="240" w:lineRule="auto"/>
            </w:pPr>
            <w:r>
              <w:rPr>
                <w:b/>
                <w:color w:val="000000"/>
                <w:sz w:val="18"/>
              </w:rPr>
              <w:t xml:space="preserve">Month-to-month volume variation (%)</w:t>
            </w:r>
          </w:p>
        </w:tc>
        <w:tc>
          <w:tcPr>
            <w:tcW w:type="dxa" w:w="3000"/>
            <w:vAlign w:val="center"/>
          </w:tcPr>
          <w:p>
            <w:pPr>
              <w:spacing w:after="0" w:before="0" w:line="240" w:lineRule="auto"/>
            </w:pPr>
            <w:r>
              <w:rPr>
                <w:color w:val="000000"/>
                <w:sz w:val="18"/>
                <w:highlight w:val="yellow"/>
              </w:rPr>
              <w:t xml:space="preserve">[10]</w:t>
            </w:r>
          </w:p>
        </w:tc>
      </w:tr>
      <w:tr>
        <w:trPr>
          <w:cantSplit/>
        </w:trPr>
        <w:tc>
          <w:tcPr>
            <w:tcW w:type="dxa" w:w="7224"/>
            <w:vAlign w:val="center"/>
          </w:tcPr>
          <w:p>
            <w:pPr>
              <w:spacing w:after="0" w:before="0" w:line="240" w:lineRule="auto"/>
            </w:pPr>
            <w:r>
              <w:rPr>
                <w:b/>
                <w:color w:val="000000"/>
                <w:sz w:val="18"/>
              </w:rPr>
              <w:t xml:space="preserve">Task time variation per item (coefficient of variation, %)</w:t>
            </w:r>
          </w:p>
        </w:tc>
        <w:tc>
          <w:tcPr>
            <w:tcW w:type="dxa" w:w="3000"/>
            <w:vAlign w:val="center"/>
          </w:tcPr>
          <w:p>
            <w:pPr>
              <w:spacing w:after="0" w:before="0" w:line="240" w:lineRule="auto"/>
            </w:pPr>
            <w:r>
              <w:rPr>
                <w:color w:val="000000"/>
                <w:sz w:val="18"/>
                <w:highlight w:val="yellow"/>
              </w:rPr>
              <w:t xml:space="preserve">[30]</w:t>
            </w:r>
          </w:p>
        </w:tc>
      </w:tr>
      <w:tr>
        <w:trPr>
          <w:cantSplit/>
        </w:trPr>
        <w:tc>
          <w:tcPr>
            <w:tcW w:type="dxa" w:w="7224"/>
            <w:vAlign w:val="center"/>
          </w:tcPr>
          <w:p>
            <w:pPr>
              <w:spacing w:after="0" w:before="0" w:line="240" w:lineRule="auto"/>
            </w:pPr>
            <w:r>
              <w:rPr>
                <w:b/>
                <w:color w:val="000000"/>
                <w:sz w:val="18"/>
              </w:rPr>
              <w:t xml:space="preserve">Swing in automatic match rates (points)</w:t>
            </w:r>
          </w:p>
        </w:tc>
        <w:tc>
          <w:tcPr>
            <w:tcW w:type="dxa" w:w="3000"/>
            <w:vAlign w:val="center"/>
          </w:tcPr>
          <w:p>
            <w:pPr>
              <w:spacing w:after="0" w:before="0" w:line="240" w:lineRule="auto"/>
            </w:pPr>
            <w:r>
              <w:rPr>
                <w:color w:val="000000"/>
                <w:sz w:val="18"/>
                <w:highlight w:val="yellow"/>
              </w:rPr>
              <w:t xml:space="preserve">[3]</w:t>
            </w:r>
          </w:p>
        </w:tc>
      </w:tr>
      <w:tr>
        <w:trPr>
          <w:cantSplit/>
        </w:trPr>
        <w:tc>
          <w:tcPr>
            <w:tcW w:type="dxa" w:w="7224"/>
            <w:vAlign w:val="center"/>
          </w:tcPr>
          <w:p>
            <w:pPr>
              <w:spacing w:after="0" w:before="0" w:line="240" w:lineRule="auto"/>
            </w:pPr>
            <w:r>
              <w:rPr>
                <w:b/>
                <w:color w:val="000000"/>
                <w:sz w:val="18"/>
              </w:rPr>
              <w:t xml:space="preserve">Business manager reply time variation (coefficient of variation, %)</w:t>
            </w:r>
          </w:p>
        </w:tc>
        <w:tc>
          <w:tcPr>
            <w:tcW w:type="dxa" w:w="3000"/>
            <w:vAlign w:val="center"/>
          </w:tcPr>
          <w:p>
            <w:pPr>
              <w:spacing w:after="0" w:before="0" w:line="240" w:lineRule="auto"/>
            </w:pPr>
            <w:r>
              <w:rPr>
                <w:color w:val="000000"/>
                <w:sz w:val="18"/>
                <w:highlight w:val="yellow"/>
              </w:rPr>
              <w:t xml:space="preserve">[60]</w:t>
            </w:r>
          </w:p>
        </w:tc>
      </w:tr>
      <w:tr>
        <w:trPr>
          <w:cantSplit/>
        </w:trPr>
        <w:tc>
          <w:tcPr>
            <w:tcW w:type="dxa" w:w="7224"/>
            <w:vAlign w:val="center"/>
          </w:tcPr>
          <w:p>
            <w:pPr>
              <w:spacing w:after="0" w:before="0" w:line="240" w:lineRule="auto"/>
            </w:pPr>
            <w:r>
              <w:rPr>
                <w:b/>
                <w:color w:val="000000"/>
                <w:sz w:val="18"/>
              </w:rPr>
              <w:t xml:space="preserve">Agent processing time variation (coefficient of variation, %)</w:t>
            </w:r>
          </w:p>
        </w:tc>
        <w:tc>
          <w:tcPr>
            <w:tcW w:type="dxa" w:w="3000"/>
            <w:vAlign w:val="center"/>
          </w:tcPr>
          <w:p>
            <w:pPr>
              <w:spacing w:after="0" w:before="0" w:line="240" w:lineRule="auto"/>
            </w:pPr>
            <w:r>
              <w:rPr>
                <w:color w:val="000000"/>
                <w:sz w:val="18"/>
                <w:highlight w:val="yellow"/>
              </w:rPr>
              <w:t xml:space="preserve">[30]</w:t>
            </w:r>
          </w:p>
        </w:tc>
      </w:tr>
      <w:tr>
        <w:trPr>
          <w:cantSplit/>
        </w:trPr>
        <w:tc>
          <w:tcPr>
            <w:tcW w:type="dxa" w:w="7224"/>
            <w:vAlign w:val="center"/>
          </w:tcPr>
          <w:p>
            <w:pPr>
              <w:spacing w:after="0" w:before="0" w:line="240" w:lineRule="auto"/>
            </w:pPr>
            <w:r>
              <w:rPr>
                <w:b/>
                <w:color w:val="000000"/>
                <w:sz w:val="18"/>
              </w:rPr>
              <w:t xml:space="preserve">Chance agents are unavailable on a working day (%)</w:t>
            </w:r>
          </w:p>
        </w:tc>
        <w:tc>
          <w:tcPr>
            <w:tcW w:type="dxa" w:w="3000"/>
            <w:vAlign w:val="center"/>
          </w:tcPr>
          <w:p>
            <w:pPr>
              <w:spacing w:after="0" w:before="0" w:line="240" w:lineRule="auto"/>
            </w:pPr>
            <w:r>
              <w:rPr>
                <w:color w:val="000000"/>
                <w:sz w:val="18"/>
                <w:highlight w:val="yellow"/>
              </w:rPr>
              <w:t xml:space="preserve">[2]</w:t>
            </w:r>
          </w:p>
        </w:tc>
      </w:tr>
      <w:tr>
        <w:trPr>
          <w:cantSplit/>
        </w:trPr>
        <w:tc>
          <w:tcPr>
            <w:tcW w:type="dxa" w:w="7224"/>
            <w:vAlign w:val="center"/>
          </w:tcPr>
          <w:p>
            <w:pPr>
              <w:spacing w:after="0" w:before="0" w:line="240" w:lineRule="auto"/>
            </w:pPr>
            <w:r>
              <w:rPr>
                <w:b/>
                <w:color w:val="000000"/>
                <w:sz w:val="18"/>
              </w:rPr>
              <w:t xml:space="preserve">Time for an item that has to be redone (% of normal)</w:t>
            </w:r>
          </w:p>
        </w:tc>
        <w:tc>
          <w:tcPr>
            <w:tcW w:type="dxa" w:w="3000"/>
            <w:vAlign w:val="center"/>
          </w:tcPr>
          <w:p>
            <w:pPr>
              <w:spacing w:after="0" w:before="0" w:line="240" w:lineRule="auto"/>
            </w:pPr>
            <w:r>
              <w:rPr>
                <w:color w:val="000000"/>
                <w:sz w:val="18"/>
                <w:highlight w:val="yellow"/>
              </w:rPr>
              <w:t xml:space="preserve">[150]</w:t>
            </w:r>
          </w:p>
        </w:tc>
      </w:tr>
      <w:tr>
        <w:trPr>
          <w:cantSplit/>
        </w:trPr>
        <w:tc>
          <w:tcPr>
            <w:tcW w:type="dxa" w:w="7224"/>
            <w:vAlign w:val="center"/>
          </w:tcPr>
          <w:p>
            <w:pPr>
              <w:spacing w:after="0" w:before="0" w:line="240" w:lineRule="auto"/>
            </w:pPr>
            <w:r>
              <w:rPr>
                <w:b/>
                <w:color w:val="000000"/>
                <w:sz w:val="18"/>
              </w:rPr>
              <w:t xml:space="preserve">Shortest delay for a late file (working days)</w:t>
            </w:r>
          </w:p>
        </w:tc>
        <w:tc>
          <w:tcPr>
            <w:tcW w:type="dxa" w:w="3000"/>
            <w:vAlign w:val="center"/>
          </w:tcPr>
          <w:p>
            <w:pPr>
              <w:spacing w:after="0" w:before="0" w:line="240" w:lineRule="auto"/>
            </w:pPr>
            <w:r>
              <w:rPr>
                <w:color w:val="000000"/>
                <w:sz w:val="18"/>
                <w:highlight w:val="yellow"/>
              </w:rPr>
              <w:t xml:space="preserve">[0.5]</w:t>
            </w:r>
          </w:p>
        </w:tc>
      </w:tr>
      <w:tr>
        <w:trPr>
          <w:cantSplit/>
        </w:trPr>
        <w:tc>
          <w:tcPr>
            <w:tcW w:type="dxa" w:w="7224"/>
            <w:vAlign w:val="center"/>
          </w:tcPr>
          <w:p>
            <w:pPr>
              <w:spacing w:after="0" w:before="0" w:line="240" w:lineRule="auto"/>
            </w:pPr>
            <w:r>
              <w:rPr>
                <w:b/>
                <w:color w:val="000000"/>
                <w:sz w:val="18"/>
              </w:rPr>
              <w:t xml:space="preserve">Longest delay for a late file (working days)</w:t>
            </w:r>
          </w:p>
        </w:tc>
        <w:tc>
          <w:tcPr>
            <w:tcW w:type="dxa" w:w="3000"/>
            <w:vAlign w:val="center"/>
          </w:tcPr>
          <w:p>
            <w:pPr>
              <w:spacing w:after="0" w:before="0" w:line="240" w:lineRule="auto"/>
            </w:pPr>
            <w:r>
              <w:rPr>
                <w:color w:val="000000"/>
                <w:sz w:val="18"/>
                <w:highlight w:val="yellow"/>
              </w:rPr>
              <w:t xml:space="preserve">[1]</w:t>
            </w:r>
          </w:p>
        </w:tc>
      </w:tr>
      <w:tr>
        <w:trPr>
          <w:cantSplit/>
        </w:trPr>
        <w:tc>
          <w:tcPr>
            <w:tcW w:type="dxa" w:w="7224"/>
            <w:vAlign w:val="center"/>
          </w:tcPr>
          <w:p>
            <w:pPr>
              <w:spacing w:after="0" w:before="0" w:line="240" w:lineRule="auto"/>
            </w:pPr>
            <w:r>
              <w:rPr>
                <w:b/>
                <w:color w:val="000000"/>
                <w:sz w:val="18"/>
              </w:rPr>
              <w:t xml:space="preserve">Days a key person is off when it happens</w:t>
            </w:r>
          </w:p>
        </w:tc>
        <w:tc>
          <w:tcPr>
            <w:tcW w:type="dxa" w:w="3000"/>
            <w:vAlign w:val="center"/>
          </w:tcPr>
          <w:p>
            <w:pPr>
              <w:spacing w:after="0" w:before="0" w:line="240" w:lineRule="auto"/>
            </w:pPr>
            <w:r>
              <w:rPr>
                <w:color w:val="000000"/>
                <w:sz w:val="18"/>
                <w:highlight w:val="yellow"/>
              </w:rPr>
              <w:t xml:space="preserve">[2]</w:t>
            </w:r>
          </w:p>
        </w:tc>
      </w:tr>
      <w:tr>
        <w:trPr>
          <w:cantSplit/>
        </w:trPr>
        <w:tc>
          <w:tcPr>
            <w:tcW w:type="dxa" w:w="7224"/>
            <w:vAlign w:val="center"/>
          </w:tcPr>
          <w:p>
            <w:pPr>
              <w:spacing w:after="0" w:before="0" w:line="240" w:lineRule="auto"/>
            </w:pPr>
            <w:r>
              <w:rPr>
                <w:b/>
                <w:color w:val="000000"/>
                <w:sz w:val="18"/>
              </w:rPr>
              <w:t xml:space="preserve">Sickness, share of working days (%)</w:t>
            </w:r>
          </w:p>
        </w:tc>
        <w:tc>
          <w:tcPr>
            <w:tcW w:type="dxa" w:w="3000"/>
            <w:vAlign w:val="center"/>
          </w:tcPr>
          <w:p>
            <w:pPr>
              <w:spacing w:after="0" w:before="0" w:line="240" w:lineRule="auto"/>
            </w:pPr>
            <w:r>
              <w:rPr>
                <w:color w:val="000000"/>
                <w:sz w:val="18"/>
                <w:highlight w:val="yellow"/>
              </w:rPr>
              <w:t xml:space="preserve">[3]</w:t>
            </w:r>
          </w:p>
        </w:tc>
      </w:tr>
      <w:tr>
        <w:trPr>
          <w:cantSplit/>
        </w:trPr>
        <w:tc>
          <w:tcPr>
            <w:tcW w:type="dxa" w:w="7224"/>
            <w:vAlign w:val="center"/>
          </w:tcPr>
          <w:p>
            <w:pPr>
              <w:spacing w:after="0" w:before="0" w:line="240" w:lineRule="auto"/>
            </w:pPr>
            <w:r>
              <w:rPr>
                <w:b/>
                <w:color w:val="000000"/>
                <w:sz w:val="18"/>
              </w:rPr>
              <w:t xml:space="preserve">Chance a key person is off during the close (%)</w:t>
            </w:r>
          </w:p>
        </w:tc>
        <w:tc>
          <w:tcPr>
            <w:tcW w:type="dxa" w:w="3000"/>
            <w:vAlign w:val="center"/>
          </w:tcPr>
          <w:p>
            <w:pPr>
              <w:spacing w:after="0" w:before="0" w:line="240" w:lineRule="auto"/>
            </w:pPr>
            <w:r>
              <w:rPr>
                <w:color w:val="000000"/>
                <w:sz w:val="18"/>
                <w:highlight w:val="yellow"/>
              </w:rPr>
              <w:t xml:space="preserve">[15]</w:t>
            </w:r>
          </w:p>
        </w:tc>
      </w:tr>
      <w:tr>
        <w:trPr>
          <w:cantSplit/>
        </w:trPr>
        <w:tc>
          <w:tcPr>
            <w:tcW w:type="dxa" w:w="7224"/>
            <w:vAlign w:val="center"/>
          </w:tcPr>
          <w:p>
            <w:pPr>
              <w:spacing w:after="0" w:before="0" w:line="240" w:lineRule="auto"/>
            </w:pPr>
            <w:r>
              <w:rPr>
                <w:b/>
                <w:color w:val="000000"/>
                <w:sz w:val="18"/>
              </w:rPr>
              <w:t xml:space="preserve">Chance a bank or payroll file arrives late (%)</w:t>
            </w:r>
          </w:p>
        </w:tc>
        <w:tc>
          <w:tcPr>
            <w:tcW w:type="dxa" w:w="3000"/>
            <w:vAlign w:val="center"/>
          </w:tcPr>
          <w:p>
            <w:pPr>
              <w:spacing w:after="0" w:before="0" w:line="240" w:lineRule="auto"/>
            </w:pPr>
            <w:r>
              <w:rPr>
                <w:color w:val="000000"/>
                <w:sz w:val="18"/>
                <w:highlight w:val="yellow"/>
              </w:rPr>
              <w:t xml:space="preserve">[10]</w:t>
            </w:r>
          </w:p>
        </w:tc>
      </w:tr>
      <w:tr>
        <w:trPr>
          <w:cantSplit/>
        </w:trPr>
        <w:tc>
          <w:tcPr>
            <w:tcW w:type="dxa" w:w="7224"/>
            <w:vAlign w:val="center"/>
          </w:tcPr>
          <w:p>
            <w:pPr>
              <w:spacing w:after="0" w:before="0" w:line="240" w:lineRule="auto"/>
            </w:pPr>
            <w:r>
              <w:rPr>
                <w:b/>
                <w:color w:val="000000"/>
                <w:sz w:val="18"/>
              </w:rPr>
              <w:t xml:space="preserve">Swing in agent acceptance (points)</w:t>
            </w:r>
          </w:p>
        </w:tc>
        <w:tc>
          <w:tcPr>
            <w:tcW w:type="dxa" w:w="3000"/>
            <w:vAlign w:val="center"/>
          </w:tcPr>
          <w:p>
            <w:pPr>
              <w:spacing w:after="0" w:before="0" w:line="240" w:lineRule="auto"/>
            </w:pPr>
            <w:r>
              <w:rPr>
                <w:color w:val="000000"/>
                <w:sz w:val="18"/>
                <w:highlight w:val="yellow"/>
              </w:rPr>
              <w:t xml:space="preserve">[8]</w:t>
            </w:r>
          </w:p>
        </w:tc>
      </w:tr>
      <w:tr>
        <w:trPr>
          <w:cantSplit/>
        </w:trPr>
        <w:tc>
          <w:tcPr>
            <w:tcW w:type="dxa" w:w="7224"/>
            <w:vAlign w:val="center"/>
          </w:tcPr>
          <w:p>
            <w:pPr>
              <w:spacing w:after="0" w:before="0" w:line="240" w:lineRule="auto"/>
            </w:pPr>
            <w:r>
              <w:rPr>
                <w:b/>
                <w:color w:val="000000"/>
                <w:sz w:val="18"/>
              </w:rPr>
              <w:t xml:space="preserve">Work redone after errors (%)</w:t>
            </w:r>
          </w:p>
        </w:tc>
        <w:tc>
          <w:tcPr>
            <w:tcW w:type="dxa" w:w="3000"/>
            <w:vAlign w:val="center"/>
          </w:tcPr>
          <w:p>
            <w:pPr>
              <w:spacing w:after="0" w:before="0" w:line="240" w:lineRule="auto"/>
            </w:pPr>
            <w:r>
              <w:rPr>
                <w:color w:val="000000"/>
                <w:sz w:val="18"/>
                <w:highlight w:val="yellow"/>
              </w:rPr>
              <w:t xml:space="preserve">[5]</w:t>
            </w:r>
          </w:p>
        </w:tc>
      </w:tr>
    </w:tbl>
    <w:p>
      <w:r>
        <w:rPr>
          <w:sz w:val="19"/>
        </w:rPr>
        <w:t xml:space="preserve">Variation is random but repeatable: the same seed gives the same month. The range of outcomes runs a month many times with different seeds and reports P10, P50 and P90, meaning one run in ten was better than P10 and one in ten worse than P90.</w:t>
      </w:r>
    </w:p>
    <w:p>
      <w:pPr>
        <w:pStyle w:val="Title"/>
        <w:pageBreakBefore/>
      </w:pPr>
      <w:r>
        <w:t>CFO office process guide</w:t>
      </w:r>
    </w:p>
    <w:p>
      <w:pPr>
        <w:pStyle w:val="Heading1"/>
      </w:pPr>
      <w:r>
        <w:t xml:space="preserve">Financial statements and the general ledger</w:t>
      </w:r>
    </w:p>
    <w:p>
      <w:pPr>
        <w:spacing w:after="100"/>
      </w:pPr>
      <w:r>
        <w:t xml:space="preserve">Every posting is caused by a completed event (an invoice raised or posted, a receipt banked or matched, a payment run releasing the supplier invoices that have fallen due, payroll, a close journal, a fraud control that failed) or is an automatic or exogenous posting (the opening position, the ERP’s month-end accrual for invoices not yet posted and its reversal, agent provider charges). Nothing is attributed to a person who did not do the work, and unmatched receipts stay unallocated until matched. Faster collection, duplicate payments avoided and the cost of released capacity are not simulated: they are shown separately as external assumptions. Every transaction in the simulation posts a balanced double-entry journal. The income statement, balance sheet and cash flow are read from the general ledger, so each figure traces to journals. Journals carry a number, date, type, source, description, preparer and approver. Journals posted after the last working day fall into the next month.</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200"/>
        <w:gridCol w:w="3700"/>
        <w:gridCol w:w="4324"/>
      </w:tblGrid>
      <w:tr>
        <w:trPr>
          <w:tblHeader/>
        </w:trPr>
        <w:tc>
          <w:tcPr>
            <w:tcW w:type="dxa" w:w="2200"/>
            <w:shd w:val="clear" w:color="auto" w:fill="DCE6F1"/>
            <w:vAlign w:val="center"/>
          </w:tcPr>
          <w:p>
            <w:pPr>
              <w:spacing w:after="0" w:before="0" w:line="240" w:lineRule="auto"/>
            </w:pPr>
            <w:r>
              <w:rPr>
                <w:b/>
                <w:color w:val="000000"/>
                <w:sz w:val="17"/>
              </w:rPr>
              <w:t xml:space="preserve">Journal type</w:t>
            </w:r>
          </w:p>
        </w:tc>
        <w:tc>
          <w:tcPr>
            <w:tcW w:type="dxa" w:w="3700"/>
            <w:shd w:val="clear" w:color="auto" w:fill="DCE6F1"/>
            <w:vAlign w:val="center"/>
          </w:tcPr>
          <w:p>
            <w:pPr>
              <w:spacing w:after="0" w:before="0" w:line="240" w:lineRule="auto"/>
            </w:pPr>
            <w:r>
              <w:rPr>
                <w:b/>
                <w:color w:val="000000"/>
                <w:sz w:val="17"/>
              </w:rPr>
              <w:t xml:space="preserve">Examples</w:t>
            </w:r>
          </w:p>
        </w:tc>
        <w:tc>
          <w:tcPr>
            <w:tcW w:type="dxa" w:w="4324"/>
            <w:shd w:val="clear" w:color="auto" w:fill="DCE6F1"/>
            <w:vAlign w:val="center"/>
          </w:tcPr>
          <w:p>
            <w:pPr>
              <w:spacing w:after="0" w:before="0" w:line="240" w:lineRule="auto"/>
            </w:pPr>
            <w:r>
              <w:rPr>
                <w:b/>
                <w:color w:val="000000"/>
                <w:sz w:val="17"/>
              </w:rPr>
              <w:t xml:space="preserve">Posted when</w:t>
            </w:r>
          </w:p>
        </w:tc>
      </w:tr>
      <w:tr>
        <w:trPr>
          <w:cantSplit/>
        </w:trPr>
        <w:tc>
          <w:tcPr>
            <w:tcW w:type="dxa" w:w="2200"/>
            <w:vAlign w:val="center"/>
          </w:tcPr>
          <w:p>
            <w:pPr>
              <w:spacing w:after="0" w:before="0" w:line="240" w:lineRule="auto"/>
            </w:pPr>
            <w:r>
              <w:rPr>
                <w:b/>
                <w:color w:val="000000"/>
                <w:sz w:val="17"/>
              </w:rPr>
              <w:t xml:space="preserve">Opening</w:t>
            </w:r>
          </w:p>
        </w:tc>
        <w:tc>
          <w:tcPr>
            <w:tcW w:type="dxa" w:w="3700"/>
            <w:vAlign w:val="center"/>
          </w:tcPr>
          <w:p>
            <w:pPr>
              <w:spacing w:after="0" w:before="0" w:line="240" w:lineRule="auto"/>
            </w:pPr>
            <w:r>
              <w:rPr>
                <w:color w:val="000000"/>
                <w:sz w:val="17"/>
              </w:rPr>
              <w:t xml:space="preserve">Balances brought forward</w:t>
            </w:r>
          </w:p>
        </w:tc>
        <w:tc>
          <w:tcPr>
            <w:tcW w:type="dxa" w:w="4324"/>
            <w:vAlign w:val="center"/>
          </w:tcPr>
          <w:p>
            <w:pPr>
              <w:spacing w:after="0" w:before="0" w:line="240" w:lineRule="auto"/>
            </w:pPr>
            <w:r>
              <w:rPr>
                <w:color w:val="000000"/>
                <w:sz w:val="17"/>
              </w:rPr>
              <w:t xml:space="preserve">Start of the month (assumptions, or the previous month in a full-year run)</w:t>
            </w:r>
          </w:p>
        </w:tc>
      </w:tr>
      <w:tr>
        <w:trPr>
          <w:cantSplit/>
        </w:trPr>
        <w:tc>
          <w:tcPr>
            <w:tcW w:type="dxa" w:w="2200"/>
            <w:vAlign w:val="center"/>
          </w:tcPr>
          <w:p>
            <w:pPr>
              <w:spacing w:after="0" w:before="0" w:line="240" w:lineRule="auto"/>
            </w:pPr>
            <w:r>
              <w:rPr>
                <w:b/>
                <w:color w:val="000000"/>
                <w:sz w:val="17"/>
              </w:rPr>
              <w:t xml:space="preserve">Auto-reversal</w:t>
            </w:r>
          </w:p>
        </w:tc>
        <w:tc>
          <w:tcPr>
            <w:tcW w:type="dxa" w:w="3700"/>
            <w:vAlign w:val="center"/>
          </w:tcPr>
          <w:p>
            <w:pPr>
              <w:spacing w:after="0" w:before="0" w:line="240" w:lineRule="auto"/>
            </w:pPr>
            <w:r>
              <w:rPr>
                <w:color w:val="000000"/>
                <w:sz w:val="17"/>
              </w:rPr>
              <w:t xml:space="preserve">Last month’s accruals, deferred income, accrued income, prepayments</w:t>
            </w:r>
          </w:p>
        </w:tc>
        <w:tc>
          <w:tcPr>
            <w:tcW w:type="dxa" w:w="4324"/>
            <w:vAlign w:val="center"/>
          </w:tcPr>
          <w:p>
            <w:pPr>
              <w:spacing w:after="0" w:before="0" w:line="240" w:lineRule="auto"/>
            </w:pPr>
            <w:r>
              <w:rPr>
                <w:color w:val="000000"/>
                <w:sz w:val="17"/>
              </w:rPr>
              <w:t xml:space="preserve">Day 1</w:t>
            </w:r>
          </w:p>
        </w:tc>
      </w:tr>
      <w:tr>
        <w:trPr>
          <w:cantSplit/>
        </w:trPr>
        <w:tc>
          <w:tcPr>
            <w:tcW w:type="dxa" w:w="2200"/>
            <w:vAlign w:val="center"/>
          </w:tcPr>
          <w:p>
            <w:pPr>
              <w:spacing w:after="0" w:before="0" w:line="240" w:lineRule="auto"/>
            </w:pPr>
            <w:r>
              <w:rPr>
                <w:b/>
                <w:color w:val="000000"/>
                <w:sz w:val="17"/>
              </w:rPr>
              <w:t xml:space="preserve">System</w:t>
            </w:r>
          </w:p>
        </w:tc>
        <w:tc>
          <w:tcPr>
            <w:tcW w:type="dxa" w:w="3700"/>
            <w:vAlign w:val="center"/>
          </w:tcPr>
          <w:p>
            <w:pPr>
              <w:spacing w:after="0" w:before="0" w:line="240" w:lineRule="auto"/>
            </w:pPr>
            <w:r>
              <w:rPr>
                <w:color w:val="000000"/>
                <w:sz w:val="17"/>
              </w:rPr>
              <w:t xml:space="preserve">Customer invoices, receipts banked, matched invoices, payment runs, net pay, PAYE and pension payments</w:t>
            </w:r>
          </w:p>
        </w:tc>
        <w:tc>
          <w:tcPr>
            <w:tcW w:type="dxa" w:w="4324"/>
            <w:vAlign w:val="center"/>
          </w:tcPr>
          <w:p>
            <w:pPr>
              <w:spacing w:after="0" w:before="0" w:line="240" w:lineRule="auto"/>
            </w:pPr>
            <w:r>
              <w:rPr>
                <w:color w:val="000000"/>
                <w:sz w:val="17"/>
              </w:rPr>
              <w:t xml:space="preserve">As the system or payment runs complete</w:t>
            </w:r>
          </w:p>
        </w:tc>
      </w:tr>
      <w:tr>
        <w:trPr>
          <w:cantSplit/>
        </w:trPr>
        <w:tc>
          <w:tcPr>
            <w:tcW w:type="dxa" w:w="2200"/>
            <w:vAlign w:val="center"/>
          </w:tcPr>
          <w:p>
            <w:pPr>
              <w:spacing w:after="0" w:before="0" w:line="240" w:lineRule="auto"/>
            </w:pPr>
            <w:r>
              <w:rPr>
                <w:b/>
                <w:color w:val="000000"/>
                <w:sz w:val="17"/>
              </w:rPr>
              <w:t xml:space="preserve">Sub-ledger</w:t>
            </w:r>
          </w:p>
        </w:tc>
        <w:tc>
          <w:tcPr>
            <w:tcW w:type="dxa" w:w="3700"/>
            <w:vAlign w:val="center"/>
          </w:tcPr>
          <w:p>
            <w:pPr>
              <w:spacing w:after="0" w:before="0" w:line="240" w:lineRule="auto"/>
            </w:pPr>
            <w:r>
              <w:rPr>
                <w:color w:val="000000"/>
                <w:sz w:val="17"/>
              </w:rPr>
              <w:t xml:space="preserve">Supplier invoice exceptions resolved, receipts matched by the team</w:t>
            </w:r>
          </w:p>
        </w:tc>
        <w:tc>
          <w:tcPr>
            <w:tcW w:type="dxa" w:w="4324"/>
            <w:vAlign w:val="center"/>
          </w:tcPr>
          <w:p>
            <w:pPr>
              <w:spacing w:after="0" w:before="0" w:line="240" w:lineRule="auto"/>
            </w:pPr>
            <w:r>
              <w:rPr>
                <w:color w:val="000000"/>
                <w:sz w:val="17"/>
              </w:rPr>
              <w:t xml:space="preserve">When the person (or agent and reviewer) finishes</w:t>
            </w:r>
          </w:p>
        </w:tc>
      </w:tr>
      <w:tr>
        <w:trPr>
          <w:cantSplit/>
        </w:trPr>
        <w:tc>
          <w:tcPr>
            <w:tcW w:type="dxa" w:w="2200"/>
            <w:vAlign w:val="center"/>
          </w:tcPr>
          <w:p>
            <w:pPr>
              <w:spacing w:after="0" w:before="0" w:line="240" w:lineRule="auto"/>
            </w:pPr>
            <w:r>
              <w:rPr>
                <w:b/>
                <w:color w:val="000000"/>
                <w:sz w:val="17"/>
              </w:rPr>
              <w:t xml:space="preserve">Manual</w:t>
            </w:r>
          </w:p>
        </w:tc>
        <w:tc>
          <w:tcPr>
            <w:tcW w:type="dxa" w:w="3700"/>
            <w:vAlign w:val="center"/>
          </w:tcPr>
          <w:p>
            <w:pPr>
              <w:spacing w:after="0" w:before="0" w:line="240" w:lineRule="auto"/>
            </w:pPr>
            <w:r>
              <w:rPr>
                <w:color w:val="000000"/>
                <w:sz w:val="17"/>
              </w:rPr>
              <w:t xml:space="preserve">Accruals, payroll journal, depreciation, bad-debt provision, deferred and accrued income, prepayments, reconciliation corrections, disposals</w:t>
            </w:r>
          </w:p>
        </w:tc>
        <w:tc>
          <w:tcPr>
            <w:tcW w:type="dxa" w:w="4324"/>
            <w:vAlign w:val="center"/>
          </w:tcPr>
          <w:p>
            <w:pPr>
              <w:spacing w:after="0" w:before="0" w:line="240" w:lineRule="auto"/>
            </w:pPr>
            <w:r>
              <w:rPr>
                <w:color w:val="000000"/>
                <w:sz w:val="17"/>
              </w:rPr>
              <w:t xml:space="preserve">When the close task is approved</w:t>
            </w:r>
          </w:p>
        </w:tc>
      </w:tr>
      <w:tr>
        <w:trPr>
          <w:cantSplit/>
        </w:trPr>
        <w:tc>
          <w:tcPr>
            <w:tcW w:type="dxa" w:w="2200"/>
            <w:vAlign w:val="center"/>
          </w:tcPr>
          <w:p>
            <w:pPr>
              <w:spacing w:after="0" w:before="0" w:line="240" w:lineRule="auto"/>
            </w:pPr>
            <w:r>
              <w:rPr>
                <w:b/>
                <w:color w:val="000000"/>
                <w:sz w:val="17"/>
              </w:rPr>
              <w:t xml:space="preserve">Month-end</w:t>
            </w:r>
          </w:p>
        </w:tc>
        <w:tc>
          <w:tcPr>
            <w:tcW w:type="dxa" w:w="3700"/>
            <w:vAlign w:val="center"/>
          </w:tcPr>
          <w:p>
            <w:pPr>
              <w:spacing w:after="0" w:before="0" w:line="240" w:lineRule="auto"/>
            </w:pPr>
            <w:r>
              <w:rPr>
                <w:color w:val="000000"/>
                <w:sz w:val="17"/>
              </w:rPr>
              <w:t xml:space="preserve">Accrual for invoices still in queues, agent running costs, expected fraud and duplicate losses, faster collection, released capacity</w:t>
            </w:r>
          </w:p>
        </w:tc>
        <w:tc>
          <w:tcPr>
            <w:tcW w:type="dxa" w:w="4324"/>
            <w:vAlign w:val="center"/>
          </w:tcPr>
          <w:p>
            <w:pPr>
              <w:spacing w:after="0" w:before="0" w:line="240" w:lineRule="auto"/>
            </w:pPr>
            <w:r>
              <w:rPr>
                <w:color w:val="000000"/>
                <w:sz w:val="17"/>
              </w:rPr>
              <w:t xml:space="preserve">Last working day</w:t>
            </w:r>
          </w:p>
        </w:tc>
      </w:tr>
    </w:tbl>
    <w:p>
      <w:pPr>
        <w:pStyle w:val="Heading2"/>
      </w:pPr>
      <w:r>
        <w:t xml:space="preserve">Chart of accounts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000"/>
        <w:gridCol w:w="3800"/>
        <w:gridCol w:w="1000"/>
        <w:gridCol w:w="4424"/>
      </w:tblGrid>
      <w:tr>
        <w:trPr>
          <w:tblHeader/>
        </w:trPr>
        <w:tc>
          <w:tcPr>
            <w:tcW w:type="dxa" w:w="1000"/>
            <w:shd w:val="clear" w:color="auto" w:fill="DCE6F1"/>
            <w:vAlign w:val="center"/>
          </w:tcPr>
          <w:p>
            <w:pPr>
              <w:spacing w:after="0" w:before="0" w:line="240" w:lineRule="auto"/>
            </w:pPr>
            <w:r>
              <w:rPr>
                <w:b/>
                <w:color w:val="000000"/>
                <w:sz w:val="17"/>
              </w:rPr>
              <w:t xml:space="preserve">Code</w:t>
            </w:r>
          </w:p>
        </w:tc>
        <w:tc>
          <w:tcPr>
            <w:tcW w:type="dxa" w:w="3800"/>
            <w:shd w:val="clear" w:color="auto" w:fill="DCE6F1"/>
            <w:vAlign w:val="center"/>
          </w:tcPr>
          <w:p>
            <w:pPr>
              <w:spacing w:after="0" w:before="0" w:line="240" w:lineRule="auto"/>
            </w:pPr>
            <w:r>
              <w:rPr>
                <w:b/>
                <w:color w:val="000000"/>
                <w:sz w:val="17"/>
              </w:rPr>
              <w:t xml:space="preserve">Account</w:t>
            </w:r>
          </w:p>
        </w:tc>
        <w:tc>
          <w:tcPr>
            <w:tcW w:type="dxa" w:w="1000"/>
            <w:shd w:val="clear" w:color="auto" w:fill="DCE6F1"/>
            <w:vAlign w:val="center"/>
          </w:tcPr>
          <w:p>
            <w:pPr>
              <w:spacing w:after="0" w:before="0" w:line="240" w:lineRule="auto"/>
            </w:pPr>
            <w:r>
              <w:rPr>
                <w:b/>
                <w:color w:val="000000"/>
                <w:sz w:val="17"/>
              </w:rPr>
              <w:t xml:space="preserve">Code</w:t>
            </w:r>
          </w:p>
        </w:tc>
        <w:tc>
          <w:tcPr>
            <w:tcW w:type="dxa" w:w="4424"/>
            <w:shd w:val="clear" w:color="auto" w:fill="DCE6F1"/>
            <w:vAlign w:val="center"/>
          </w:tcPr>
          <w:p>
            <w:pPr>
              <w:spacing w:after="0" w:before="0" w:line="240" w:lineRule="auto"/>
            </w:pPr>
            <w:r>
              <w:rPr>
                <w:b/>
                <w:color w:val="000000"/>
                <w:sz w:val="17"/>
              </w:rPr>
              <w:t xml:space="preserve">Account</w:t>
            </w:r>
          </w:p>
        </w:tc>
      </w:tr>
      <w:tr>
        <w:trPr>
          <w:cantSplit/>
        </w:trPr>
        <w:tc>
          <w:tcPr>
            <w:tcW w:type="dxa" w:w="1000"/>
            <w:vAlign w:val="center"/>
          </w:tcPr>
          <w:p>
            <w:pPr>
              <w:spacing w:after="0" w:before="0" w:line="240" w:lineRule="auto"/>
            </w:pPr>
            <w:r>
              <w:rPr>
                <w:color w:val="000000"/>
                <w:sz w:val="17"/>
              </w:rPr>
              <w:t xml:space="preserve">0100</w:t>
            </w:r>
          </w:p>
        </w:tc>
        <w:tc>
          <w:tcPr>
            <w:tcW w:type="dxa" w:w="3800"/>
            <w:vAlign w:val="center"/>
          </w:tcPr>
          <w:p>
            <w:pPr>
              <w:spacing w:after="0" w:before="0" w:line="240" w:lineRule="auto"/>
            </w:pPr>
            <w:r>
              <w:rPr>
                <w:color w:val="000000"/>
                <w:sz w:val="17"/>
              </w:rPr>
              <w:t xml:space="preserve">Fixed assets at cost</w:t>
            </w:r>
          </w:p>
        </w:tc>
        <w:tc>
          <w:tcPr>
            <w:tcW w:type="dxa" w:w="1000"/>
            <w:vAlign w:val="center"/>
          </w:tcPr>
          <w:p>
            <w:pPr>
              <w:spacing w:after="0" w:before="0" w:line="240" w:lineRule="auto"/>
            </w:pPr>
            <w:r>
              <w:rPr>
                <w:color w:val="000000"/>
                <w:sz w:val="17"/>
              </w:rPr>
              <w:t xml:space="preserve">2400</w:t>
            </w:r>
          </w:p>
        </w:tc>
        <w:tc>
          <w:tcPr>
            <w:tcW w:type="dxa" w:w="4424"/>
            <w:vAlign w:val="center"/>
          </w:tcPr>
          <w:p>
            <w:pPr>
              <w:spacing w:after="0" w:before="0" w:line="240" w:lineRule="auto"/>
            </w:pPr>
            <w:r>
              <w:rPr>
                <w:color w:val="000000"/>
                <w:sz w:val="17"/>
              </w:rPr>
              <w:t xml:space="preserve">Deferred income</w:t>
            </w:r>
          </w:p>
        </w:tc>
      </w:tr>
      <w:tr>
        <w:trPr>
          <w:cantSplit/>
        </w:trPr>
        <w:tc>
          <w:tcPr>
            <w:tcW w:type="dxa" w:w="1000"/>
            <w:vAlign w:val="center"/>
          </w:tcPr>
          <w:p>
            <w:pPr>
              <w:spacing w:after="0" w:before="0" w:line="240" w:lineRule="auto"/>
            </w:pPr>
            <w:r>
              <w:rPr>
                <w:color w:val="000000"/>
                <w:sz w:val="17"/>
              </w:rPr>
              <w:t xml:space="preserve">0150</w:t>
            </w:r>
          </w:p>
        </w:tc>
        <w:tc>
          <w:tcPr>
            <w:tcW w:type="dxa" w:w="3800"/>
            <w:vAlign w:val="center"/>
          </w:tcPr>
          <w:p>
            <w:pPr>
              <w:spacing w:after="0" w:before="0" w:line="240" w:lineRule="auto"/>
            </w:pPr>
            <w:r>
              <w:rPr>
                <w:color w:val="000000"/>
                <w:sz w:val="17"/>
              </w:rPr>
              <w:t xml:space="preserve">Accumulated depreciation</w:t>
            </w:r>
          </w:p>
        </w:tc>
        <w:tc>
          <w:tcPr>
            <w:tcW w:type="dxa" w:w="1000"/>
            <w:vAlign w:val="center"/>
          </w:tcPr>
          <w:p>
            <w:pPr>
              <w:spacing w:after="0" w:before="0" w:line="240" w:lineRule="auto"/>
            </w:pPr>
            <w:r>
              <w:rPr>
                <w:color w:val="000000"/>
                <w:sz w:val="17"/>
              </w:rPr>
              <w:t xml:space="preserve">3000</w:t>
            </w:r>
          </w:p>
        </w:tc>
        <w:tc>
          <w:tcPr>
            <w:tcW w:type="dxa" w:w="4424"/>
            <w:vAlign w:val="center"/>
          </w:tcPr>
          <w:p>
            <w:pPr>
              <w:spacing w:after="0" w:before="0" w:line="240" w:lineRule="auto"/>
            </w:pPr>
            <w:r>
              <w:rPr>
                <w:color w:val="000000"/>
                <w:sz w:val="17"/>
              </w:rPr>
              <w:t xml:space="preserve">Equity brought forward</w:t>
            </w:r>
          </w:p>
        </w:tc>
      </w:tr>
      <w:tr>
        <w:trPr>
          <w:cantSplit/>
        </w:trPr>
        <w:tc>
          <w:tcPr>
            <w:tcW w:type="dxa" w:w="1000"/>
            <w:vAlign w:val="center"/>
          </w:tcPr>
          <w:p>
            <w:pPr>
              <w:spacing w:after="0" w:before="0" w:line="240" w:lineRule="auto"/>
            </w:pPr>
            <w:r>
              <w:rPr>
                <w:color w:val="000000"/>
                <w:sz w:val="17"/>
              </w:rPr>
              <w:t xml:space="preserve">1100</w:t>
            </w:r>
          </w:p>
        </w:tc>
        <w:tc>
          <w:tcPr>
            <w:tcW w:type="dxa" w:w="3800"/>
            <w:vAlign w:val="center"/>
          </w:tcPr>
          <w:p>
            <w:pPr>
              <w:spacing w:after="0" w:before="0" w:line="240" w:lineRule="auto"/>
            </w:pPr>
            <w:r>
              <w:rPr>
                <w:color w:val="000000"/>
                <w:sz w:val="17"/>
              </w:rPr>
              <w:t xml:space="preserve">Trade debtors</w:t>
            </w:r>
          </w:p>
        </w:tc>
        <w:tc>
          <w:tcPr>
            <w:tcW w:type="dxa" w:w="1000"/>
            <w:vAlign w:val="center"/>
          </w:tcPr>
          <w:p>
            <w:pPr>
              <w:spacing w:after="0" w:before="0" w:line="240" w:lineRule="auto"/>
            </w:pPr>
            <w:r>
              <w:rPr>
                <w:color w:val="000000"/>
                <w:sz w:val="17"/>
              </w:rPr>
              <w:t xml:space="preserve">4000</w:t>
            </w:r>
          </w:p>
        </w:tc>
        <w:tc>
          <w:tcPr>
            <w:tcW w:type="dxa" w:w="4424"/>
            <w:vAlign w:val="center"/>
          </w:tcPr>
          <w:p>
            <w:pPr>
              <w:spacing w:after="0" w:before="0" w:line="240" w:lineRule="auto"/>
            </w:pPr>
            <w:r>
              <w:rPr>
                <w:color w:val="000000"/>
                <w:sz w:val="17"/>
              </w:rPr>
              <w:t xml:space="preserve">Revenue</w:t>
            </w:r>
          </w:p>
        </w:tc>
      </w:tr>
      <w:tr>
        <w:trPr>
          <w:cantSplit/>
        </w:trPr>
        <w:tc>
          <w:tcPr>
            <w:tcW w:type="dxa" w:w="1000"/>
            <w:vAlign w:val="center"/>
          </w:tcPr>
          <w:p>
            <w:pPr>
              <w:spacing w:after="0" w:before="0" w:line="240" w:lineRule="auto"/>
            </w:pPr>
            <w:r>
              <w:rPr>
                <w:color w:val="000000"/>
                <w:sz w:val="17"/>
              </w:rPr>
              <w:t xml:space="preserve">1150</w:t>
            </w:r>
          </w:p>
        </w:tc>
        <w:tc>
          <w:tcPr>
            <w:tcW w:type="dxa" w:w="3800"/>
            <w:vAlign w:val="center"/>
          </w:tcPr>
          <w:p>
            <w:pPr>
              <w:spacing w:after="0" w:before="0" w:line="240" w:lineRule="auto"/>
            </w:pPr>
            <w:r>
              <w:rPr>
                <w:color w:val="000000"/>
                <w:sz w:val="17"/>
              </w:rPr>
              <w:t xml:space="preserve">Bad-debt provision</w:t>
            </w:r>
          </w:p>
        </w:tc>
        <w:tc>
          <w:tcPr>
            <w:tcW w:type="dxa" w:w="1000"/>
            <w:vAlign w:val="center"/>
          </w:tcPr>
          <w:p>
            <w:pPr>
              <w:spacing w:after="0" w:before="0" w:line="240" w:lineRule="auto"/>
            </w:pPr>
            <w:r>
              <w:rPr>
                <w:color w:val="000000"/>
                <w:sz w:val="17"/>
              </w:rPr>
              <w:t xml:space="preserve">5000</w:t>
            </w:r>
          </w:p>
        </w:tc>
        <w:tc>
          <w:tcPr>
            <w:tcW w:type="dxa" w:w="4424"/>
            <w:vAlign w:val="center"/>
          </w:tcPr>
          <w:p>
            <w:pPr>
              <w:spacing w:after="0" w:before="0" w:line="240" w:lineRule="auto"/>
            </w:pPr>
            <w:r>
              <w:rPr>
                <w:color w:val="000000"/>
                <w:sz w:val="17"/>
              </w:rPr>
              <w:t xml:space="preserve">Cost of sales</w:t>
            </w:r>
          </w:p>
        </w:tc>
      </w:tr>
      <w:tr>
        <w:trPr>
          <w:cantSplit/>
        </w:trPr>
        <w:tc>
          <w:tcPr>
            <w:tcW w:type="dxa" w:w="1000"/>
            <w:vAlign w:val="center"/>
          </w:tcPr>
          <w:p>
            <w:pPr>
              <w:spacing w:after="0" w:before="0" w:line="240" w:lineRule="auto"/>
            </w:pPr>
            <w:r>
              <w:rPr>
                <w:color w:val="000000"/>
                <w:sz w:val="17"/>
              </w:rPr>
              <w:t xml:space="preserve">1200</w:t>
            </w:r>
          </w:p>
        </w:tc>
        <w:tc>
          <w:tcPr>
            <w:tcW w:type="dxa" w:w="3800"/>
            <w:vAlign w:val="center"/>
          </w:tcPr>
          <w:p>
            <w:pPr>
              <w:spacing w:after="0" w:before="0" w:line="240" w:lineRule="auto"/>
            </w:pPr>
            <w:r>
              <w:rPr>
                <w:color w:val="000000"/>
                <w:sz w:val="17"/>
              </w:rPr>
              <w:t xml:space="preserve">Bank</w:t>
            </w:r>
          </w:p>
        </w:tc>
        <w:tc>
          <w:tcPr>
            <w:tcW w:type="dxa" w:w="1000"/>
            <w:vAlign w:val="center"/>
          </w:tcPr>
          <w:p>
            <w:pPr>
              <w:spacing w:after="0" w:before="0" w:line="240" w:lineRule="auto"/>
            </w:pPr>
            <w:r>
              <w:rPr>
                <w:color w:val="000000"/>
                <w:sz w:val="17"/>
              </w:rPr>
              <w:t xml:space="preserve">6000</w:t>
            </w:r>
          </w:p>
        </w:tc>
        <w:tc>
          <w:tcPr>
            <w:tcW w:type="dxa" w:w="4424"/>
            <w:vAlign w:val="center"/>
          </w:tcPr>
          <w:p>
            <w:pPr>
              <w:spacing w:after="0" w:before="0" w:line="240" w:lineRule="auto"/>
            </w:pPr>
            <w:r>
              <w:rPr>
                <w:color w:val="000000"/>
                <w:sz w:val="17"/>
              </w:rPr>
              <w:t xml:space="preserve">Overheads</w:t>
            </w:r>
          </w:p>
        </w:tc>
      </w:tr>
      <w:tr>
        <w:trPr>
          <w:cantSplit/>
        </w:trPr>
        <w:tc>
          <w:tcPr>
            <w:tcW w:type="dxa" w:w="1000"/>
            <w:vAlign w:val="center"/>
          </w:tcPr>
          <w:p>
            <w:pPr>
              <w:spacing w:after="0" w:before="0" w:line="240" w:lineRule="auto"/>
            </w:pPr>
            <w:r>
              <w:rPr>
                <w:color w:val="000000"/>
                <w:sz w:val="17"/>
              </w:rPr>
              <w:t xml:space="preserve">1300</w:t>
            </w:r>
          </w:p>
        </w:tc>
        <w:tc>
          <w:tcPr>
            <w:tcW w:type="dxa" w:w="3800"/>
            <w:vAlign w:val="center"/>
          </w:tcPr>
          <w:p>
            <w:pPr>
              <w:spacing w:after="0" w:before="0" w:line="240" w:lineRule="auto"/>
            </w:pPr>
            <w:r>
              <w:rPr>
                <w:color w:val="000000"/>
                <w:sz w:val="17"/>
              </w:rPr>
              <w:t xml:space="preserve">Accrued income</w:t>
            </w:r>
          </w:p>
        </w:tc>
        <w:tc>
          <w:tcPr>
            <w:tcW w:type="dxa" w:w="1000"/>
            <w:vAlign w:val="center"/>
          </w:tcPr>
          <w:p>
            <w:pPr>
              <w:spacing w:after="0" w:before="0" w:line="240" w:lineRule="auto"/>
            </w:pPr>
            <w:r>
              <w:rPr>
                <w:color w:val="000000"/>
                <w:sz w:val="17"/>
              </w:rPr>
              <w:t xml:space="preserve">7000</w:t>
            </w:r>
          </w:p>
        </w:tc>
        <w:tc>
          <w:tcPr>
            <w:tcW w:type="dxa" w:w="4424"/>
            <w:vAlign w:val="center"/>
          </w:tcPr>
          <w:p>
            <w:pPr>
              <w:spacing w:after="0" w:before="0" w:line="240" w:lineRule="auto"/>
            </w:pPr>
            <w:r>
              <w:rPr>
                <w:color w:val="000000"/>
                <w:sz w:val="17"/>
              </w:rPr>
              <w:t xml:space="preserve">Staff costs</w:t>
            </w:r>
          </w:p>
        </w:tc>
      </w:tr>
      <w:tr>
        <w:trPr>
          <w:cantSplit/>
        </w:trPr>
        <w:tc>
          <w:tcPr>
            <w:tcW w:type="dxa" w:w="1000"/>
            <w:vAlign w:val="center"/>
          </w:tcPr>
          <w:p>
            <w:pPr>
              <w:spacing w:after="0" w:before="0" w:line="240" w:lineRule="auto"/>
            </w:pPr>
            <w:r>
              <w:rPr>
                <w:color w:val="000000"/>
                <w:sz w:val="17"/>
              </w:rPr>
              <w:t xml:space="preserve">1400</w:t>
            </w:r>
          </w:p>
        </w:tc>
        <w:tc>
          <w:tcPr>
            <w:tcW w:type="dxa" w:w="3800"/>
            <w:vAlign w:val="center"/>
          </w:tcPr>
          <w:p>
            <w:pPr>
              <w:spacing w:after="0" w:before="0" w:line="240" w:lineRule="auto"/>
            </w:pPr>
            <w:r>
              <w:rPr>
                <w:color w:val="000000"/>
                <w:sz w:val="17"/>
              </w:rPr>
              <w:t xml:space="preserve">Prepayments</w:t>
            </w:r>
          </w:p>
        </w:tc>
        <w:tc>
          <w:tcPr>
            <w:tcW w:type="dxa" w:w="1000"/>
            <w:vAlign w:val="center"/>
          </w:tcPr>
          <w:p>
            <w:pPr>
              <w:spacing w:after="0" w:before="0" w:line="240" w:lineRule="auto"/>
            </w:pPr>
            <w:r>
              <w:rPr>
                <w:color w:val="000000"/>
                <w:sz w:val="17"/>
              </w:rPr>
              <w:t xml:space="preserve">7500</w:t>
            </w:r>
          </w:p>
        </w:tc>
        <w:tc>
          <w:tcPr>
            <w:tcW w:type="dxa" w:w="4424"/>
            <w:vAlign w:val="center"/>
          </w:tcPr>
          <w:p>
            <w:pPr>
              <w:spacing w:after="0" w:before="0" w:line="240" w:lineRule="auto"/>
            </w:pPr>
            <w:r>
              <w:rPr>
                <w:color w:val="000000"/>
                <w:sz w:val="17"/>
              </w:rPr>
              <w:t xml:space="preserve">Depreciation</w:t>
            </w:r>
          </w:p>
        </w:tc>
      </w:tr>
      <w:tr>
        <w:trPr>
          <w:cantSplit/>
        </w:trPr>
        <w:tc>
          <w:tcPr>
            <w:tcW w:type="dxa" w:w="1000"/>
            <w:vAlign w:val="center"/>
          </w:tcPr>
          <w:p>
            <w:pPr>
              <w:spacing w:after="0" w:before="0" w:line="240" w:lineRule="auto"/>
            </w:pPr>
            <w:r>
              <w:rPr>
                <w:color w:val="000000"/>
                <w:sz w:val="17"/>
              </w:rPr>
              <w:t xml:space="preserve">2100</w:t>
            </w:r>
          </w:p>
        </w:tc>
        <w:tc>
          <w:tcPr>
            <w:tcW w:type="dxa" w:w="3800"/>
            <w:vAlign w:val="center"/>
          </w:tcPr>
          <w:p>
            <w:pPr>
              <w:spacing w:after="0" w:before="0" w:line="240" w:lineRule="auto"/>
            </w:pPr>
            <w:r>
              <w:rPr>
                <w:color w:val="000000"/>
                <w:sz w:val="17"/>
              </w:rPr>
              <w:t xml:space="preserve">Trade creditors</w:t>
            </w:r>
          </w:p>
        </w:tc>
        <w:tc>
          <w:tcPr>
            <w:tcW w:type="dxa" w:w="1000"/>
            <w:vAlign w:val="center"/>
          </w:tcPr>
          <w:p>
            <w:pPr>
              <w:spacing w:after="0" w:before="0" w:line="240" w:lineRule="auto"/>
            </w:pPr>
            <w:r>
              <w:rPr>
                <w:color w:val="000000"/>
                <w:sz w:val="17"/>
              </w:rPr>
              <w:t xml:space="preserve">7600</w:t>
            </w:r>
          </w:p>
        </w:tc>
        <w:tc>
          <w:tcPr>
            <w:tcW w:type="dxa" w:w="4424"/>
            <w:vAlign w:val="center"/>
          </w:tcPr>
          <w:p>
            <w:pPr>
              <w:spacing w:after="0" w:before="0" w:line="240" w:lineRule="auto"/>
            </w:pPr>
            <w:r>
              <w:rPr>
                <w:color w:val="000000"/>
                <w:sz w:val="17"/>
              </w:rPr>
              <w:t xml:space="preserve">Bad debts</w:t>
            </w:r>
          </w:p>
        </w:tc>
      </w:tr>
      <w:tr>
        <w:trPr>
          <w:cantSplit/>
        </w:trPr>
        <w:tc>
          <w:tcPr>
            <w:tcW w:type="dxa" w:w="1000"/>
            <w:vAlign w:val="center"/>
          </w:tcPr>
          <w:p>
            <w:pPr>
              <w:spacing w:after="0" w:before="0" w:line="240" w:lineRule="auto"/>
            </w:pPr>
            <w:r>
              <w:rPr>
                <w:color w:val="000000"/>
                <w:sz w:val="17"/>
              </w:rPr>
              <w:t xml:space="preserve">2150</w:t>
            </w:r>
          </w:p>
        </w:tc>
        <w:tc>
          <w:tcPr>
            <w:tcW w:type="dxa" w:w="3800"/>
            <w:vAlign w:val="center"/>
          </w:tcPr>
          <w:p>
            <w:pPr>
              <w:spacing w:after="0" w:before="0" w:line="240" w:lineRule="auto"/>
            </w:pPr>
            <w:r>
              <w:rPr>
                <w:color w:val="000000"/>
                <w:sz w:val="17"/>
              </w:rPr>
              <w:t xml:space="preserve">Unallocated customer receipts</w:t>
            </w:r>
          </w:p>
        </w:tc>
        <w:tc>
          <w:tcPr>
            <w:tcW w:type="dxa" w:w="1000"/>
            <w:vAlign w:val="center"/>
          </w:tcPr>
          <w:p>
            <w:pPr>
              <w:spacing w:after="0" w:before="0" w:line="240" w:lineRule="auto"/>
            </w:pPr>
            <w:r>
              <w:rPr>
                <w:color w:val="000000"/>
                <w:sz w:val="17"/>
              </w:rPr>
              <w:t xml:space="preserve">7700</w:t>
            </w:r>
          </w:p>
        </w:tc>
        <w:tc>
          <w:tcPr>
            <w:tcW w:type="dxa" w:w="4424"/>
            <w:vAlign w:val="center"/>
          </w:tcPr>
          <w:p>
            <w:pPr>
              <w:spacing w:after="0" w:before="0" w:line="240" w:lineRule="auto"/>
            </w:pPr>
            <w:r>
              <w:rPr>
                <w:color w:val="000000"/>
                <w:sz w:val="17"/>
              </w:rPr>
              <w:t xml:space="preserve">Agent and platform costs</w:t>
            </w:r>
          </w:p>
        </w:tc>
      </w:tr>
      <w:tr>
        <w:trPr>
          <w:cantSplit/>
        </w:trPr>
        <w:tc>
          <w:tcPr>
            <w:tcW w:type="dxa" w:w="1000"/>
            <w:vAlign w:val="center"/>
          </w:tcPr>
          <w:p>
            <w:pPr>
              <w:spacing w:after="0" w:before="0" w:line="240" w:lineRule="auto"/>
            </w:pPr>
            <w:r>
              <w:rPr>
                <w:color w:val="000000"/>
                <w:sz w:val="17"/>
              </w:rPr>
              <w:t xml:space="preserve">2200</w:t>
            </w:r>
          </w:p>
        </w:tc>
        <w:tc>
          <w:tcPr>
            <w:tcW w:type="dxa" w:w="3800"/>
            <w:vAlign w:val="center"/>
          </w:tcPr>
          <w:p>
            <w:pPr>
              <w:spacing w:after="0" w:before="0" w:line="240" w:lineRule="auto"/>
            </w:pPr>
            <w:r>
              <w:rPr>
                <w:color w:val="000000"/>
                <w:sz w:val="17"/>
              </w:rPr>
              <w:t xml:space="preserve">Accruals</w:t>
            </w:r>
          </w:p>
        </w:tc>
        <w:tc>
          <w:tcPr>
            <w:tcW w:type="dxa" w:w="1000"/>
            <w:vAlign w:val="center"/>
          </w:tcPr>
          <w:p>
            <w:pPr>
              <w:spacing w:after="0" w:before="0" w:line="240" w:lineRule="auto"/>
            </w:pPr>
            <w:r>
              <w:rPr>
                <w:color w:val="000000"/>
                <w:sz w:val="17"/>
              </w:rPr>
              <w:t xml:space="preserve">7800</w:t>
            </w:r>
          </w:p>
        </w:tc>
        <w:tc>
          <w:tcPr>
            <w:tcW w:type="dxa" w:w="4424"/>
            <w:vAlign w:val="center"/>
          </w:tcPr>
          <w:p>
            <w:pPr>
              <w:spacing w:after="0" w:before="0" w:line="240" w:lineRule="auto"/>
            </w:pPr>
            <w:r>
              <w:rPr>
                <w:color w:val="000000"/>
                <w:sz w:val="17"/>
              </w:rPr>
              <w:t xml:space="preserve">Fraud and duplicate payment losses</w:t>
            </w:r>
          </w:p>
        </w:tc>
      </w:tr>
      <w:tr>
        <w:trPr>
          <w:cantSplit/>
        </w:trPr>
        <w:tc>
          <w:tcPr>
            <w:tcW w:type="dxa" w:w="1000"/>
            <w:vAlign w:val="center"/>
          </w:tcPr>
          <w:p>
            <w:pPr>
              <w:spacing w:after="0" w:before="0" w:line="240" w:lineRule="auto"/>
            </w:pPr>
            <w:r>
              <w:rPr>
                <w:color w:val="000000"/>
                <w:sz w:val="17"/>
              </w:rPr>
              <w:t xml:space="preserve">2300</w:t>
            </w:r>
          </w:p>
        </w:tc>
        <w:tc>
          <w:tcPr>
            <w:tcW w:type="dxa" w:w="3800"/>
            <w:vAlign w:val="center"/>
          </w:tcPr>
          <w:p>
            <w:pPr>
              <w:spacing w:after="0" w:before="0" w:line="240" w:lineRule="auto"/>
            </w:pPr>
            <w:r>
              <w:rPr>
                <w:color w:val="000000"/>
                <w:sz w:val="17"/>
              </w:rPr>
              <w:t xml:space="preserve">PAYE, NIC and pension due</w:t>
            </w:r>
          </w:p>
        </w:tc>
        <w:tc>
          <w:tcPr>
            <w:tcW w:type="dxa" w:w="1000"/>
            <w:vAlign w:val="center"/>
          </w:tcPr>
          <w:p>
            <w:pPr>
              <w:spacing w:after="0" w:before="0" w:line="240" w:lineRule="auto"/>
            </w:pPr>
          </w:p>
        </w:tc>
        <w:tc>
          <w:tcPr>
            <w:tcW w:type="dxa" w:w="4424"/>
            <w:vAlign w:val="center"/>
          </w:tcPr>
          <w:p>
            <w:pPr>
              <w:spacing w:after="0" w:before="0" w:line="240" w:lineRule="auto"/>
            </w:pPr>
          </w:p>
        </w:tc>
      </w:tr>
    </w:tbl>
    <w:p>
      <w:pPr>
        <w:pStyle w:val="Title"/>
        <w:pageBreakBefore/>
      </w:pPr>
      <w:r>
        <w:t>CFO office process guide</w:t>
      </w:r>
    </w:p>
    <w:p>
      <w:pPr>
        <w:pStyle w:val="Heading1"/>
      </w:pPr>
      <w:r>
        <w:t xml:space="preserve">Financial assumptions</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7"/>
              </w:rPr>
              <w:t xml:space="preserve">Assumption</w:t>
            </w:r>
          </w:p>
        </w:tc>
        <w:tc>
          <w:tcPr>
            <w:tcW w:type="dxa" w:w="3000"/>
            <w:shd w:val="clear" w:color="auto" w:fill="DCE6F1"/>
            <w:vAlign w:val="center"/>
          </w:tcPr>
          <w:p>
            <w:pPr>
              <w:spacing w:after="0" w:before="0" w:line="240" w:lineRule="auto"/>
            </w:pPr>
            <w:r>
              <w:rPr>
                <w:b/>
                <w:color w:val="000000"/>
                <w:sz w:val="17"/>
              </w:rPr>
              <w:t xml:space="preserve">Default</w:t>
            </w:r>
          </w:p>
        </w:tc>
      </w:tr>
      <w:tr>
        <w:trPr>
          <w:cantSplit/>
        </w:trPr>
        <w:tc>
          <w:tcPr>
            <w:tcW w:type="dxa" w:w="7224"/>
            <w:vAlign w:val="center"/>
          </w:tcPr>
          <w:p>
            <w:pPr>
              <w:spacing w:after="0" w:before="0" w:line="240" w:lineRule="auto"/>
            </w:pPr>
            <w:r>
              <w:rPr>
                <w:b/>
                <w:color w:val="000000"/>
                <w:sz w:val="17"/>
              </w:rPr>
              <w:t xml:space="preserve">Average customer invoice (£)</w:t>
            </w:r>
          </w:p>
        </w:tc>
        <w:tc>
          <w:tcPr>
            <w:tcW w:type="dxa" w:w="3000"/>
            <w:vAlign w:val="center"/>
          </w:tcPr>
          <w:p>
            <w:pPr>
              <w:spacing w:after="0" w:before="0" w:line="240" w:lineRule="auto"/>
            </w:pPr>
            <w:r>
              <w:rPr>
                <w:color w:val="000000"/>
                <w:sz w:val="17"/>
                <w:highlight w:val="yellow"/>
              </w:rPr>
              <w:t xml:space="preserve">[4000]</w:t>
            </w:r>
          </w:p>
        </w:tc>
      </w:tr>
      <w:tr>
        <w:trPr>
          <w:cantSplit/>
        </w:trPr>
        <w:tc>
          <w:tcPr>
            <w:tcW w:type="dxa" w:w="7224"/>
            <w:vAlign w:val="center"/>
          </w:tcPr>
          <w:p>
            <w:pPr>
              <w:spacing w:after="0" w:before="0" w:line="240" w:lineRule="auto"/>
            </w:pPr>
            <w:r>
              <w:rPr>
                <w:b/>
                <w:color w:val="000000"/>
                <w:sz w:val="17"/>
              </w:rPr>
              <w:t xml:space="preserve">Average supplier invoice (£)</w:t>
            </w:r>
          </w:p>
        </w:tc>
        <w:tc>
          <w:tcPr>
            <w:tcW w:type="dxa" w:w="3000"/>
            <w:vAlign w:val="center"/>
          </w:tcPr>
          <w:p>
            <w:pPr>
              <w:spacing w:after="0" w:before="0" w:line="240" w:lineRule="auto"/>
            </w:pPr>
            <w:r>
              <w:rPr>
                <w:color w:val="000000"/>
                <w:sz w:val="17"/>
                <w:highlight w:val="yellow"/>
              </w:rPr>
              <w:t xml:space="preserve">[1000]</w:t>
            </w:r>
          </w:p>
        </w:tc>
      </w:tr>
      <w:tr>
        <w:trPr>
          <w:cantSplit/>
        </w:trPr>
        <w:tc>
          <w:tcPr>
            <w:tcW w:type="dxa" w:w="7224"/>
            <w:vAlign w:val="center"/>
          </w:tcPr>
          <w:p>
            <w:pPr>
              <w:spacing w:after="0" w:before="0" w:line="240" w:lineRule="auto"/>
            </w:pPr>
            <w:r>
              <w:rPr>
                <w:b/>
                <w:color w:val="000000"/>
                <w:sz w:val="17"/>
              </w:rPr>
              <w:t xml:space="preserve">Monthly payroll for all staff (£)</w:t>
            </w:r>
          </w:p>
        </w:tc>
        <w:tc>
          <w:tcPr>
            <w:tcW w:type="dxa" w:w="3000"/>
            <w:vAlign w:val="center"/>
          </w:tcPr>
          <w:p>
            <w:pPr>
              <w:spacing w:after="0" w:before="0" w:line="240" w:lineRule="auto"/>
            </w:pPr>
            <w:r>
              <w:rPr>
                <w:color w:val="000000"/>
                <w:sz w:val="17"/>
                <w:highlight w:val="yellow"/>
              </w:rPr>
              <w:t xml:space="preserve">[350000]</w:t>
            </w:r>
          </w:p>
        </w:tc>
      </w:tr>
      <w:tr>
        <w:trPr>
          <w:cantSplit/>
        </w:trPr>
        <w:tc>
          <w:tcPr>
            <w:tcW w:type="dxa" w:w="7224"/>
            <w:vAlign w:val="center"/>
          </w:tcPr>
          <w:p>
            <w:pPr>
              <w:spacing w:after="0" w:before="0" w:line="240" w:lineRule="auto"/>
            </w:pPr>
            <w:r>
              <w:rPr>
                <w:b/>
                <w:color w:val="000000"/>
                <w:sz w:val="17"/>
              </w:rPr>
              <w:t xml:space="preserve">Supplier spend that is cost of sales (%)</w:t>
            </w:r>
          </w:p>
        </w:tc>
        <w:tc>
          <w:tcPr>
            <w:tcW w:type="dxa" w:w="3000"/>
            <w:vAlign w:val="center"/>
          </w:tcPr>
          <w:p>
            <w:pPr>
              <w:spacing w:after="0" w:before="0" w:line="240" w:lineRule="auto"/>
            </w:pPr>
            <w:r>
              <w:rPr>
                <w:color w:val="000000"/>
                <w:sz w:val="17"/>
                <w:highlight w:val="yellow"/>
              </w:rPr>
              <w:t xml:space="preserve">[60]</w:t>
            </w:r>
          </w:p>
        </w:tc>
      </w:tr>
      <w:tr>
        <w:trPr>
          <w:cantSplit/>
        </w:trPr>
        <w:tc>
          <w:tcPr>
            <w:tcW w:type="dxa" w:w="7224"/>
            <w:vAlign w:val="center"/>
          </w:tcPr>
          <w:p>
            <w:pPr>
              <w:spacing w:after="0" w:before="0" w:line="240" w:lineRule="auto"/>
            </w:pPr>
            <w:r>
              <w:rPr>
                <w:b/>
                <w:color w:val="000000"/>
                <w:sz w:val="17"/>
              </w:rPr>
              <w:t xml:space="preserve">Opening cash (£)</w:t>
            </w:r>
          </w:p>
        </w:tc>
        <w:tc>
          <w:tcPr>
            <w:tcW w:type="dxa" w:w="3000"/>
            <w:vAlign w:val="center"/>
          </w:tcPr>
          <w:p>
            <w:pPr>
              <w:spacing w:after="0" w:before="0" w:line="240" w:lineRule="auto"/>
            </w:pPr>
            <w:r>
              <w:rPr>
                <w:color w:val="000000"/>
                <w:sz w:val="17"/>
                <w:highlight w:val="yellow"/>
              </w:rPr>
              <w:t xml:space="preserve">[1500000]</w:t>
            </w:r>
          </w:p>
        </w:tc>
      </w:tr>
      <w:tr>
        <w:trPr>
          <w:cantSplit/>
        </w:trPr>
        <w:tc>
          <w:tcPr>
            <w:tcW w:type="dxa" w:w="7224"/>
            <w:vAlign w:val="center"/>
          </w:tcPr>
          <w:p>
            <w:pPr>
              <w:spacing w:after="0" w:before="0" w:line="240" w:lineRule="auto"/>
            </w:pPr>
            <w:r>
              <w:rPr>
                <w:b/>
                <w:color w:val="000000"/>
                <w:sz w:val="17"/>
              </w:rPr>
              <w:t xml:space="preserve">Opening trade debtors (£)</w:t>
            </w:r>
          </w:p>
        </w:tc>
        <w:tc>
          <w:tcPr>
            <w:tcW w:type="dxa" w:w="3000"/>
            <w:vAlign w:val="center"/>
          </w:tcPr>
          <w:p>
            <w:pPr>
              <w:spacing w:after="0" w:before="0" w:line="240" w:lineRule="auto"/>
            </w:pPr>
            <w:r>
              <w:rPr>
                <w:color w:val="000000"/>
                <w:sz w:val="17"/>
                <w:highlight w:val="yellow"/>
              </w:rPr>
              <w:t xml:space="preserve">[1800000]</w:t>
            </w:r>
          </w:p>
        </w:tc>
      </w:tr>
      <w:tr>
        <w:trPr>
          <w:cantSplit/>
        </w:trPr>
        <w:tc>
          <w:tcPr>
            <w:tcW w:type="dxa" w:w="7224"/>
            <w:vAlign w:val="center"/>
          </w:tcPr>
          <w:p>
            <w:pPr>
              <w:spacing w:after="0" w:before="0" w:line="240" w:lineRule="auto"/>
            </w:pPr>
            <w:r>
              <w:rPr>
                <w:b/>
                <w:color w:val="000000"/>
                <w:sz w:val="17"/>
              </w:rPr>
              <w:t xml:space="preserve">Opening trade creditors (£)</w:t>
            </w:r>
          </w:p>
        </w:tc>
        <w:tc>
          <w:tcPr>
            <w:tcW w:type="dxa" w:w="3000"/>
            <w:vAlign w:val="center"/>
          </w:tcPr>
          <w:p>
            <w:pPr>
              <w:spacing w:after="0" w:before="0" w:line="240" w:lineRule="auto"/>
            </w:pPr>
            <w:r>
              <w:rPr>
                <w:color w:val="000000"/>
                <w:sz w:val="17"/>
                <w:highlight w:val="yellow"/>
              </w:rPr>
              <w:t xml:space="preserve">[600000]</w:t>
            </w:r>
          </w:p>
        </w:tc>
      </w:tr>
      <w:tr>
        <w:trPr>
          <w:cantSplit/>
        </w:trPr>
        <w:tc>
          <w:tcPr>
            <w:tcW w:type="dxa" w:w="7224"/>
            <w:vAlign w:val="center"/>
          </w:tcPr>
          <w:p>
            <w:pPr>
              <w:spacing w:after="0" w:before="0" w:line="240" w:lineRule="auto"/>
            </w:pPr>
            <w:r>
              <w:rPr>
                <w:b/>
                <w:color w:val="000000"/>
                <w:sz w:val="17"/>
              </w:rPr>
              <w:t xml:space="preserve">Opening fixed assets (£)</w:t>
            </w:r>
          </w:p>
        </w:tc>
        <w:tc>
          <w:tcPr>
            <w:tcW w:type="dxa" w:w="3000"/>
            <w:vAlign w:val="center"/>
          </w:tcPr>
          <w:p>
            <w:pPr>
              <w:spacing w:after="0" w:before="0" w:line="240" w:lineRule="auto"/>
            </w:pPr>
            <w:r>
              <w:rPr>
                <w:color w:val="000000"/>
                <w:sz w:val="17"/>
                <w:highlight w:val="yellow"/>
              </w:rPr>
              <w:t xml:space="preserve">[2000000]</w:t>
            </w:r>
          </w:p>
        </w:tc>
      </w:tr>
      <w:tr>
        <w:trPr>
          <w:cantSplit/>
        </w:trPr>
        <w:tc>
          <w:tcPr>
            <w:tcW w:type="dxa" w:w="7224"/>
            <w:vAlign w:val="center"/>
          </w:tcPr>
          <w:p>
            <w:pPr>
              <w:spacing w:after="0" w:before="0" w:line="240" w:lineRule="auto"/>
            </w:pPr>
            <w:r>
              <w:rPr>
                <w:b/>
                <w:color w:val="000000"/>
                <w:sz w:val="17"/>
              </w:rPr>
              <w:t xml:space="preserve">Monthly depreciation (£)</w:t>
            </w:r>
          </w:p>
        </w:tc>
        <w:tc>
          <w:tcPr>
            <w:tcW w:type="dxa" w:w="3000"/>
            <w:vAlign w:val="center"/>
          </w:tcPr>
          <w:p>
            <w:pPr>
              <w:spacing w:after="0" w:before="0" w:line="240" w:lineRule="auto"/>
            </w:pPr>
            <w:r>
              <w:rPr>
                <w:color w:val="000000"/>
                <w:sz w:val="17"/>
                <w:highlight w:val="yellow"/>
              </w:rPr>
              <w:t xml:space="preserve">[30000]</w:t>
            </w:r>
          </w:p>
        </w:tc>
      </w:tr>
      <w:tr>
        <w:trPr>
          <w:cantSplit/>
        </w:trPr>
        <w:tc>
          <w:tcPr>
            <w:tcW w:type="dxa" w:w="7224"/>
            <w:vAlign w:val="center"/>
          </w:tcPr>
          <w:p>
            <w:pPr>
              <w:spacing w:after="0" w:before="0" w:line="240" w:lineRule="auto"/>
            </w:pPr>
            <w:r>
              <w:rPr>
                <w:b/>
                <w:color w:val="000000"/>
                <w:sz w:val="17"/>
              </w:rPr>
              <w:t xml:space="preserve">Bad-debt charge (% of revenue)</w:t>
            </w:r>
          </w:p>
        </w:tc>
        <w:tc>
          <w:tcPr>
            <w:tcW w:type="dxa" w:w="3000"/>
            <w:vAlign w:val="center"/>
          </w:tcPr>
          <w:p>
            <w:pPr>
              <w:spacing w:after="0" w:before="0" w:line="240" w:lineRule="auto"/>
            </w:pPr>
            <w:r>
              <w:rPr>
                <w:color w:val="000000"/>
                <w:sz w:val="17"/>
                <w:highlight w:val="yellow"/>
              </w:rPr>
              <w:t xml:space="preserve">[0.5]</w:t>
            </w:r>
          </w:p>
        </w:tc>
      </w:tr>
      <w:tr>
        <w:trPr>
          <w:cantSplit/>
        </w:trPr>
        <w:tc>
          <w:tcPr>
            <w:tcW w:type="dxa" w:w="7224"/>
            <w:vAlign w:val="center"/>
          </w:tcPr>
          <w:p>
            <w:pPr>
              <w:spacing w:after="0" w:before="0" w:line="240" w:lineRule="auto"/>
            </w:pPr>
            <w:r>
              <w:rPr>
                <w:b/>
                <w:color w:val="000000"/>
                <w:sz w:val="17"/>
              </w:rPr>
              <w:t xml:space="preserve">Cost per agent step (£)</w:t>
            </w:r>
          </w:p>
        </w:tc>
        <w:tc>
          <w:tcPr>
            <w:tcW w:type="dxa" w:w="3000"/>
            <w:vAlign w:val="center"/>
          </w:tcPr>
          <w:p>
            <w:pPr>
              <w:spacing w:after="0" w:before="0" w:line="240" w:lineRule="auto"/>
            </w:pPr>
            <w:r>
              <w:rPr>
                <w:color w:val="000000"/>
                <w:sz w:val="17"/>
                <w:highlight w:val="yellow"/>
              </w:rPr>
              <w:t xml:space="preserve">[0.2]</w:t>
            </w:r>
          </w:p>
        </w:tc>
      </w:tr>
      <w:tr>
        <w:trPr>
          <w:cantSplit/>
        </w:trPr>
        <w:tc>
          <w:tcPr>
            <w:tcW w:type="dxa" w:w="7224"/>
            <w:vAlign w:val="center"/>
          </w:tcPr>
          <w:p>
            <w:pPr>
              <w:spacing w:after="0" w:before="0" w:line="240" w:lineRule="auto"/>
            </w:pPr>
            <w:r>
              <w:rPr>
                <w:b/>
                <w:color w:val="000000"/>
                <w:sz w:val="17"/>
              </w:rPr>
              <w:t xml:space="preserve">Agent platform and workflow tools per month (£)</w:t>
            </w:r>
          </w:p>
        </w:tc>
        <w:tc>
          <w:tcPr>
            <w:tcW w:type="dxa" w:w="3000"/>
            <w:vAlign w:val="center"/>
          </w:tcPr>
          <w:p>
            <w:pPr>
              <w:spacing w:after="0" w:before="0" w:line="240" w:lineRule="auto"/>
            </w:pPr>
            <w:r>
              <w:rPr>
                <w:color w:val="000000"/>
                <w:sz w:val="17"/>
                <w:highlight w:val="yellow"/>
              </w:rPr>
              <w:t xml:space="preserve">[2500]</w:t>
            </w:r>
          </w:p>
        </w:tc>
      </w:tr>
      <w:tr>
        <w:trPr>
          <w:cantSplit/>
        </w:trPr>
        <w:tc>
          <w:tcPr>
            <w:tcW w:type="dxa" w:w="7224"/>
            <w:vAlign w:val="center"/>
          </w:tcPr>
          <w:p>
            <w:pPr>
              <w:spacing w:after="0" w:before="0" w:line="240" w:lineRule="auto"/>
            </w:pPr>
            <w:r>
              <w:rPr>
                <w:b/>
                <w:color w:val="000000"/>
                <w:sz w:val="17"/>
              </w:rPr>
              <w:t xml:space="preserve">Faster collection with agents (debtor days)</w:t>
            </w:r>
          </w:p>
        </w:tc>
        <w:tc>
          <w:tcPr>
            <w:tcW w:type="dxa" w:w="3000"/>
            <w:vAlign w:val="center"/>
          </w:tcPr>
          <w:p>
            <w:pPr>
              <w:spacing w:after="0" w:before="0" w:line="240" w:lineRule="auto"/>
            </w:pPr>
            <w:r>
              <w:rPr>
                <w:color w:val="000000"/>
                <w:sz w:val="17"/>
                <w:highlight w:val="yellow"/>
              </w:rPr>
              <w:t xml:space="preserve">[3]</w:t>
            </w:r>
          </w:p>
        </w:tc>
      </w:tr>
      <w:tr>
        <w:trPr>
          <w:cantSplit/>
        </w:trPr>
        <w:tc>
          <w:tcPr>
            <w:tcW w:type="dxa" w:w="7224"/>
            <w:vAlign w:val="center"/>
          </w:tcPr>
          <w:p>
            <w:pPr>
              <w:spacing w:after="0" w:before="0" w:line="240" w:lineRule="auto"/>
            </w:pPr>
            <w:r>
              <w:rPr>
                <w:b/>
                <w:color w:val="000000"/>
                <w:sz w:val="17"/>
              </w:rPr>
              <w:t xml:space="preserve">Typical fake bank-detail payment (£)</w:t>
            </w:r>
          </w:p>
        </w:tc>
        <w:tc>
          <w:tcPr>
            <w:tcW w:type="dxa" w:w="3000"/>
            <w:vAlign w:val="center"/>
          </w:tcPr>
          <w:p>
            <w:pPr>
              <w:spacing w:after="0" w:before="0" w:line="240" w:lineRule="auto"/>
            </w:pPr>
            <w:r>
              <w:rPr>
                <w:color w:val="000000"/>
                <w:sz w:val="17"/>
                <w:highlight w:val="yellow"/>
              </w:rPr>
              <w:t xml:space="preserve">[25000]</w:t>
            </w:r>
          </w:p>
        </w:tc>
      </w:tr>
      <w:tr>
        <w:trPr>
          <w:cantSplit/>
        </w:trPr>
        <w:tc>
          <w:tcPr>
            <w:tcW w:type="dxa" w:w="7224"/>
            <w:vAlign w:val="center"/>
          </w:tcPr>
          <w:p>
            <w:pPr>
              <w:spacing w:after="0" w:before="0" w:line="240" w:lineRule="auto"/>
            </w:pPr>
            <w:r>
              <w:rPr>
                <w:b/>
                <w:color w:val="000000"/>
                <w:sz w:val="17"/>
              </w:rPr>
              <w:t xml:space="preserve">Fake bank-detail requests caught today (%)</w:t>
            </w:r>
          </w:p>
        </w:tc>
        <w:tc>
          <w:tcPr>
            <w:tcW w:type="dxa" w:w="3000"/>
            <w:vAlign w:val="center"/>
          </w:tcPr>
          <w:p>
            <w:pPr>
              <w:spacing w:after="0" w:before="0" w:line="240" w:lineRule="auto"/>
            </w:pPr>
            <w:r>
              <w:rPr>
                <w:color w:val="000000"/>
                <w:sz w:val="17"/>
                <w:highlight w:val="yellow"/>
              </w:rPr>
              <w:t xml:space="preserve">[70]</w:t>
            </w:r>
          </w:p>
        </w:tc>
      </w:tr>
      <w:tr>
        <w:trPr>
          <w:cantSplit/>
        </w:trPr>
        <w:tc>
          <w:tcPr>
            <w:tcW w:type="dxa" w:w="7224"/>
            <w:vAlign w:val="center"/>
          </w:tcPr>
          <w:p>
            <w:pPr>
              <w:spacing w:after="0" w:before="0" w:line="240" w:lineRule="auto"/>
            </w:pPr>
            <w:r>
              <w:rPr>
                <w:b/>
                <w:color w:val="000000"/>
                <w:sz w:val="17"/>
              </w:rPr>
              <w:t xml:space="preserve">Caught with agents and the call-back control (%)</w:t>
            </w:r>
          </w:p>
        </w:tc>
        <w:tc>
          <w:tcPr>
            <w:tcW w:type="dxa" w:w="3000"/>
            <w:vAlign w:val="center"/>
          </w:tcPr>
          <w:p>
            <w:pPr>
              <w:spacing w:after="0" w:before="0" w:line="240" w:lineRule="auto"/>
            </w:pPr>
            <w:r>
              <w:rPr>
                <w:color w:val="000000"/>
                <w:sz w:val="17"/>
                <w:highlight w:val="yellow"/>
              </w:rPr>
              <w:t xml:space="preserve">[98]</w:t>
            </w:r>
          </w:p>
        </w:tc>
      </w:tr>
      <w:tr>
        <w:trPr>
          <w:cantSplit/>
        </w:trPr>
        <w:tc>
          <w:tcPr>
            <w:tcW w:type="dxa" w:w="7224"/>
            <w:vAlign w:val="center"/>
          </w:tcPr>
          <w:p>
            <w:pPr>
              <w:spacing w:after="0" w:before="0" w:line="240" w:lineRule="auto"/>
            </w:pPr>
            <w:r>
              <w:rPr>
                <w:b/>
                <w:color w:val="000000"/>
                <w:sz w:val="17"/>
              </w:rPr>
              <w:t xml:space="preserve">Duplicate payments today (% of spend)</w:t>
            </w:r>
          </w:p>
        </w:tc>
        <w:tc>
          <w:tcPr>
            <w:tcW w:type="dxa" w:w="3000"/>
            <w:vAlign w:val="center"/>
          </w:tcPr>
          <w:p>
            <w:pPr>
              <w:spacing w:after="0" w:before="0" w:line="240" w:lineRule="auto"/>
            </w:pPr>
            <w:r>
              <w:rPr>
                <w:color w:val="000000"/>
                <w:sz w:val="17"/>
                <w:highlight w:val="yellow"/>
              </w:rPr>
              <w:t xml:space="preserve">[0.1]</w:t>
            </w:r>
          </w:p>
        </w:tc>
      </w:tr>
      <w:tr>
        <w:trPr>
          <w:cantSplit/>
        </w:trPr>
        <w:tc>
          <w:tcPr>
            <w:tcW w:type="dxa" w:w="7224"/>
            <w:vAlign w:val="center"/>
          </w:tcPr>
          <w:p>
            <w:pPr>
              <w:spacing w:after="0" w:before="0" w:line="240" w:lineRule="auto"/>
            </w:pPr>
            <w:r>
              <w:rPr>
                <w:b/>
                <w:color w:val="000000"/>
                <w:sz w:val="17"/>
              </w:rPr>
              <w:t xml:space="preserve">Duplicate payments with agents (% of spend)</w:t>
            </w:r>
          </w:p>
        </w:tc>
        <w:tc>
          <w:tcPr>
            <w:tcW w:type="dxa" w:w="3000"/>
            <w:vAlign w:val="center"/>
          </w:tcPr>
          <w:p>
            <w:pPr>
              <w:spacing w:after="0" w:before="0" w:line="240" w:lineRule="auto"/>
            </w:pPr>
            <w:r>
              <w:rPr>
                <w:color w:val="000000"/>
                <w:sz w:val="17"/>
                <w:highlight w:val="yellow"/>
              </w:rPr>
              <w:t xml:space="preserve">[0.02]</w:t>
            </w:r>
          </w:p>
        </w:tc>
      </w:tr>
      <w:tr>
        <w:trPr>
          <w:cantSplit/>
        </w:trPr>
        <w:tc>
          <w:tcPr>
            <w:tcW w:type="dxa" w:w="7224"/>
            <w:vAlign w:val="center"/>
          </w:tcPr>
          <w:p>
            <w:pPr>
              <w:spacing w:after="0" w:before="0" w:line="240" w:lineRule="auto"/>
            </w:pPr>
            <w:r>
              <w:rPr>
                <w:b/>
                <w:color w:val="000000"/>
                <w:sz w:val="17"/>
              </w:rPr>
              <w:t xml:space="preserve">Average supplier credit note (£)</w:t>
            </w:r>
          </w:p>
        </w:tc>
        <w:tc>
          <w:tcPr>
            <w:tcW w:type="dxa" w:w="3000"/>
            <w:vAlign w:val="center"/>
          </w:tcPr>
          <w:p>
            <w:pPr>
              <w:spacing w:after="0" w:before="0" w:line="240" w:lineRule="auto"/>
            </w:pPr>
            <w:r>
              <w:rPr>
                <w:color w:val="000000"/>
                <w:sz w:val="17"/>
                <w:highlight w:val="yellow"/>
              </w:rPr>
              <w:t xml:space="preserve">[400]</w:t>
            </w:r>
          </w:p>
        </w:tc>
      </w:tr>
      <w:tr>
        <w:trPr>
          <w:cantSplit/>
        </w:trPr>
        <w:tc>
          <w:tcPr>
            <w:tcW w:type="dxa" w:w="7224"/>
            <w:vAlign w:val="center"/>
          </w:tcPr>
          <w:p>
            <w:pPr>
              <w:spacing w:after="0" w:before="0" w:line="240" w:lineRule="auto"/>
            </w:pPr>
            <w:r>
              <w:rPr>
                <w:b/>
                <w:color w:val="000000"/>
                <w:sz w:val="17"/>
              </w:rPr>
              <w:t xml:space="preserve">Average customer refund (£)</w:t>
            </w:r>
          </w:p>
        </w:tc>
        <w:tc>
          <w:tcPr>
            <w:tcW w:type="dxa" w:w="3000"/>
            <w:vAlign w:val="center"/>
          </w:tcPr>
          <w:p>
            <w:pPr>
              <w:spacing w:after="0" w:before="0" w:line="240" w:lineRule="auto"/>
            </w:pPr>
            <w:r>
              <w:rPr>
                <w:color w:val="000000"/>
                <w:sz w:val="17"/>
                <w:highlight w:val="yellow"/>
              </w:rPr>
              <w:t xml:space="preserve">[500]</w:t>
            </w:r>
          </w:p>
        </w:tc>
      </w:tr>
      <w:tr>
        <w:trPr>
          <w:cantSplit/>
        </w:trPr>
        <w:tc>
          <w:tcPr>
            <w:tcW w:type="dxa" w:w="7224"/>
            <w:vAlign w:val="center"/>
          </w:tcPr>
          <w:p>
            <w:pPr>
              <w:spacing w:after="0" w:before="0" w:line="240" w:lineRule="auto"/>
            </w:pPr>
            <w:r>
              <w:rPr>
                <w:b/>
                <w:color w:val="000000"/>
                <w:sz w:val="17"/>
              </w:rPr>
              <w:t xml:space="preserve">Average bad debt written off (£)</w:t>
            </w:r>
          </w:p>
        </w:tc>
        <w:tc>
          <w:tcPr>
            <w:tcW w:type="dxa" w:w="3000"/>
            <w:vAlign w:val="center"/>
          </w:tcPr>
          <w:p>
            <w:pPr>
              <w:spacing w:after="0" w:before="0" w:line="240" w:lineRule="auto"/>
            </w:pPr>
            <w:r>
              <w:rPr>
                <w:color w:val="000000"/>
                <w:sz w:val="17"/>
                <w:highlight w:val="yellow"/>
              </w:rPr>
              <w:t xml:space="preserve">[1500]</w:t>
            </w:r>
          </w:p>
        </w:tc>
      </w:tr>
      <w:tr>
        <w:trPr>
          <w:cantSplit/>
        </w:trPr>
        <w:tc>
          <w:tcPr>
            <w:tcW w:type="dxa" w:w="7224"/>
            <w:vAlign w:val="center"/>
          </w:tcPr>
          <w:p>
            <w:pPr>
              <w:spacing w:after="0" w:before="0" w:line="240" w:lineRule="auto"/>
            </w:pPr>
            <w:r>
              <w:rPr>
                <w:b/>
                <w:color w:val="000000"/>
                <w:sz w:val="17"/>
              </w:rPr>
              <w:t xml:space="preserve">Average expense claim (£)</w:t>
            </w:r>
          </w:p>
        </w:tc>
        <w:tc>
          <w:tcPr>
            <w:tcW w:type="dxa" w:w="3000"/>
            <w:vAlign w:val="center"/>
          </w:tcPr>
          <w:p>
            <w:pPr>
              <w:spacing w:after="0" w:before="0" w:line="240" w:lineRule="auto"/>
            </w:pPr>
            <w:r>
              <w:rPr>
                <w:color w:val="000000"/>
                <w:sz w:val="17"/>
                <w:highlight w:val="yellow"/>
              </w:rPr>
              <w:t xml:space="preserve">[120]</w:t>
            </w:r>
          </w:p>
        </w:tc>
      </w:tr>
      <w:tr>
        <w:trPr>
          <w:cantSplit/>
        </w:trPr>
        <w:tc>
          <w:tcPr>
            <w:tcW w:type="dxa" w:w="7224"/>
            <w:vAlign w:val="center"/>
          </w:tcPr>
          <w:p>
            <w:pPr>
              <w:spacing w:after="0" w:before="0" w:line="240" w:lineRule="auto"/>
            </w:pPr>
            <w:r>
              <w:rPr>
                <w:b/>
                <w:color w:val="000000"/>
                <w:sz w:val="17"/>
              </w:rPr>
              <w:t xml:space="preserve">Average duplicate payment recovered (£)</w:t>
            </w:r>
          </w:p>
        </w:tc>
        <w:tc>
          <w:tcPr>
            <w:tcW w:type="dxa" w:w="3000"/>
            <w:vAlign w:val="center"/>
          </w:tcPr>
          <w:p>
            <w:pPr>
              <w:spacing w:after="0" w:before="0" w:line="240" w:lineRule="auto"/>
            </w:pPr>
            <w:r>
              <w:rPr>
                <w:color w:val="000000"/>
                <w:sz w:val="17"/>
                <w:highlight w:val="yellow"/>
              </w:rPr>
              <w:t xml:space="preserve">[1000]</w:t>
            </w:r>
          </w:p>
        </w:tc>
      </w:tr>
      <w:tr>
        <w:trPr>
          <w:cantSplit/>
        </w:trPr>
        <w:tc>
          <w:tcPr>
            <w:tcW w:type="dxa" w:w="7224"/>
            <w:vAlign w:val="center"/>
          </w:tcPr>
          <w:p>
            <w:pPr>
              <w:spacing w:after="0" w:before="0" w:line="240" w:lineRule="auto"/>
            </w:pPr>
            <w:r>
              <w:rPr>
                <w:b/>
                <w:color w:val="000000"/>
                <w:sz w:val="17"/>
              </w:rPr>
              <w:t xml:space="preserve">Holiday pay and bonus accrual each month (£)</w:t>
            </w:r>
          </w:p>
        </w:tc>
        <w:tc>
          <w:tcPr>
            <w:tcW w:type="dxa" w:w="3000"/>
            <w:vAlign w:val="center"/>
          </w:tcPr>
          <w:p>
            <w:pPr>
              <w:spacing w:after="0" w:before="0" w:line="240" w:lineRule="auto"/>
            </w:pPr>
            <w:r>
              <w:rPr>
                <w:color w:val="000000"/>
                <w:sz w:val="17"/>
                <w:highlight w:val="yellow"/>
              </w:rPr>
              <w:t xml:space="preserve">[6000]</w:t>
            </w:r>
          </w:p>
        </w:tc>
      </w:tr>
    </w:tbl>
    <w:p>
      <w:r>
        <w:rPr>
          <w:sz w:val="18"/>
        </w:rPr>
        <w:t xml:space="preserve">Finance team cost per FTE per month (fully loaded) </w:t>
      </w:r>
      <w:r>
        <w:rPr>
          <w:sz w:val="18"/>
          <w:highlight w:val="yellow"/>
        </w:rPr>
        <w:t xml:space="preserve">[assumed]</w:t>
      </w:r>
      <w:r>
        <w:rPr>
          <w:sz w:val="18"/>
        </w:rPr>
        <w:t xml:space="preserve">: CFO £14,000, Financial Controller £8,000, FP&amp;A £6,000, Finance Manager £6,000, aARountants £4,500, AP £3,200, AR £3,300. Released capacity is redeployed by default (no cost change) or, if chosen, removed as a cost saving.</w:t>
      </w:r>
    </w:p>
    <w:p>
      <w:r>
        <w:rPr>
          <w:sz w:val="18"/>
        </w:rPr>
        <w:t xml:space="preserve">VAT is not in the ledger: revenue, costs and balances are shown net of VAT. Customer receipts each month equal that month’s billing; supplier payments pay down the opening creditor balance; payroll cost is recognised by the payroll journal and paid as net pay, PAYE and pension.</w:t>
      </w:r>
    </w:p>
    <w:p>
      <w:pPr>
        <w:pStyle w:val="Title"/>
        <w:pageBreakBefore/>
      </w:pPr>
      <w:r>
        <w:t>CFO office process guide</w:t>
      </w:r>
    </w:p>
    <w:p>
      <w:pPr>
        <w:pStyle w:val="Heading1"/>
      </w:pPr>
      <w:r>
        <w:t xml:space="preserve">What the results depend on</w:t>
      </w:r>
    </w:p>
    <w:p>
      <w:pPr>
        <w:spacing w:after="100"/>
      </w:pPr>
      <w:r>
        <w:t xml:space="preserve">Every number the simulation produces follows from its inputs. Before results are shown to the board, each input below should be replaced or confirmed.</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600"/>
        <w:gridCol w:w="4300"/>
        <w:gridCol w:w="3324"/>
      </w:tblGrid>
      <w:tr>
        <w:trPr>
          <w:tblHeader/>
        </w:trPr>
        <w:tc>
          <w:tcPr>
            <w:tcW w:type="dxa" w:w="2600"/>
            <w:shd w:val="clear" w:color="auto" w:fill="DCE6F1"/>
            <w:vAlign w:val="center"/>
          </w:tcPr>
          <w:p>
            <w:pPr>
              <w:spacing w:after="0" w:before="0" w:line="240" w:lineRule="auto"/>
            </w:pPr>
            <w:r>
              <w:rPr>
                <w:b/>
                <w:color w:val="000000"/>
                <w:sz w:val="17"/>
              </w:rPr>
              <w:t xml:space="preserve">Input</w:t>
            </w:r>
          </w:p>
        </w:tc>
        <w:tc>
          <w:tcPr>
            <w:tcW w:type="dxa" w:w="4300"/>
            <w:shd w:val="clear" w:color="auto" w:fill="DCE6F1"/>
            <w:vAlign w:val="center"/>
          </w:tcPr>
          <w:p>
            <w:pPr>
              <w:spacing w:after="0" w:before="0" w:line="240" w:lineRule="auto"/>
            </w:pPr>
            <w:r>
              <w:rPr>
                <w:b/>
                <w:color w:val="000000"/>
                <w:sz w:val="17"/>
              </w:rPr>
              <w:t xml:space="preserve">Why it matters</w:t>
            </w:r>
          </w:p>
        </w:tc>
        <w:tc>
          <w:tcPr>
            <w:tcW w:type="dxa" w:w="3324"/>
            <w:shd w:val="clear" w:color="auto" w:fill="DCE6F1"/>
            <w:vAlign w:val="center"/>
          </w:tcPr>
          <w:p>
            <w:pPr>
              <w:spacing w:after="0" w:before="0" w:line="240" w:lineRule="auto"/>
            </w:pPr>
            <w:r>
              <w:rPr>
                <w:b/>
                <w:color w:val="000000"/>
                <w:sz w:val="17"/>
              </w:rPr>
              <w:t xml:space="preserve">How to confirm</w:t>
            </w:r>
          </w:p>
        </w:tc>
      </w:tr>
      <w:tr>
        <w:trPr>
          <w:cantSplit/>
        </w:trPr>
        <w:tc>
          <w:tcPr>
            <w:tcW w:type="dxa" w:w="2600"/>
            <w:vAlign w:val="center"/>
          </w:tcPr>
          <w:p>
            <w:pPr>
              <w:spacing w:after="0" w:before="0" w:line="240" w:lineRule="auto"/>
            </w:pPr>
            <w:r>
              <w:rPr>
                <w:b/>
                <w:color w:val="000000"/>
                <w:sz w:val="17"/>
              </w:rPr>
              <w:t xml:space="preserve">Organisation: roles, FTE, reporting lines</w:t>
            </w:r>
          </w:p>
        </w:tc>
        <w:tc>
          <w:tcPr>
            <w:tcW w:type="dxa" w:w="4300"/>
            <w:vAlign w:val="center"/>
          </w:tcPr>
          <w:p>
            <w:pPr>
              <w:spacing w:after="0" w:before="0" w:line="240" w:lineRule="auto"/>
            </w:pPr>
            <w:r>
              <w:rPr>
                <w:color w:val="000000"/>
                <w:sz w:val="17"/>
              </w:rPr>
              <w:t xml:space="preserve">Sets who does each task and how much time they have</w:t>
            </w:r>
          </w:p>
        </w:tc>
        <w:tc>
          <w:tcPr>
            <w:tcW w:type="dxa" w:w="3324"/>
            <w:vAlign w:val="center"/>
          </w:tcPr>
          <w:p>
            <w:pPr>
              <w:spacing w:after="0" w:before="0" w:line="240" w:lineRule="auto"/>
            </w:pPr>
            <w:r>
              <w:rPr>
                <w:color w:val="000000"/>
                <w:sz w:val="17"/>
              </w:rPr>
              <w:t xml:space="preserve">The actual organisation chart</w:t>
            </w:r>
          </w:p>
        </w:tc>
      </w:tr>
      <w:tr>
        <w:trPr>
          <w:cantSplit/>
        </w:trPr>
        <w:tc>
          <w:tcPr>
            <w:tcW w:type="dxa" w:w="2600"/>
            <w:vAlign w:val="center"/>
          </w:tcPr>
          <w:p>
            <w:pPr>
              <w:spacing w:after="0" w:before="0" w:line="240" w:lineRule="auto"/>
            </w:pPr>
            <w:r>
              <w:rPr>
                <w:b/>
                <w:color w:val="000000"/>
                <w:sz w:val="17"/>
              </w:rPr>
              <w:t xml:space="preserve">Other work (% of each role’s time)</w:t>
            </w:r>
          </w:p>
        </w:tc>
        <w:tc>
          <w:tcPr>
            <w:tcW w:type="dxa" w:w="4300"/>
            <w:vAlign w:val="center"/>
          </w:tcPr>
          <w:p>
            <w:pPr>
              <w:spacing w:after="0" w:before="0" w:line="240" w:lineRule="auto"/>
            </w:pPr>
            <w:r>
              <w:rPr>
                <w:color w:val="000000"/>
                <w:sz w:val="17"/>
              </w:rPr>
              <w:t xml:space="preserve">Sets how busy people are before any modelled task; calibrated so today matches the current timetable</w:t>
            </w:r>
          </w:p>
        </w:tc>
        <w:tc>
          <w:tcPr>
            <w:tcW w:type="dxa" w:w="3324"/>
            <w:vAlign w:val="center"/>
          </w:tcPr>
          <w:p>
            <w:pPr>
              <w:spacing w:after="0" w:before="0" w:line="240" w:lineRule="auto"/>
            </w:pPr>
            <w:r>
              <w:rPr>
                <w:color w:val="000000"/>
                <w:sz w:val="17"/>
              </w:rPr>
              <w:t xml:space="preserve">A two-week time log</w:t>
            </w:r>
          </w:p>
        </w:tc>
      </w:tr>
      <w:tr>
        <w:trPr>
          <w:cantSplit/>
        </w:trPr>
        <w:tc>
          <w:tcPr>
            <w:tcW w:type="dxa" w:w="2600"/>
            <w:vAlign w:val="center"/>
          </w:tcPr>
          <w:p>
            <w:pPr>
              <w:spacing w:after="0" w:before="0" w:line="240" w:lineRule="auto"/>
            </w:pPr>
            <w:r>
              <w:rPr>
                <w:b/>
                <w:color w:val="000000"/>
                <w:sz w:val="17"/>
              </w:rPr>
              <w:t xml:space="preserve">Minutes per task, today and with agents</w:t>
            </w:r>
          </w:p>
        </w:tc>
        <w:tc>
          <w:tcPr>
            <w:tcW w:type="dxa" w:w="4300"/>
            <w:vAlign w:val="center"/>
          </w:tcPr>
          <w:p>
            <w:pPr>
              <w:spacing w:after="0" w:before="0" w:line="240" w:lineRule="auto"/>
            </w:pPr>
            <w:r>
              <w:rPr>
                <w:color w:val="000000"/>
                <w:sz w:val="17"/>
              </w:rPr>
              <w:t xml:space="preserve">The main driver of hours saved</w:t>
            </w:r>
          </w:p>
        </w:tc>
        <w:tc>
          <w:tcPr>
            <w:tcW w:type="dxa" w:w="3324"/>
            <w:vAlign w:val="center"/>
          </w:tcPr>
          <w:p>
            <w:pPr>
              <w:spacing w:after="0" w:before="0" w:line="240" w:lineRule="auto"/>
            </w:pPr>
            <w:r>
              <w:rPr>
                <w:color w:val="000000"/>
                <w:sz w:val="17"/>
              </w:rPr>
              <w:t xml:space="preserve">Time log today; pilot measurements with agents</w:t>
            </w:r>
          </w:p>
        </w:tc>
      </w:tr>
      <w:tr>
        <w:trPr>
          <w:cantSplit/>
        </w:trPr>
        <w:tc>
          <w:tcPr>
            <w:tcW w:type="dxa" w:w="2600"/>
            <w:vAlign w:val="center"/>
          </w:tcPr>
          <w:p>
            <w:pPr>
              <w:spacing w:after="0" w:before="0" w:line="240" w:lineRule="auto"/>
            </w:pPr>
            <w:r>
              <w:rPr>
                <w:b/>
                <w:color w:val="000000"/>
                <w:sz w:val="17"/>
              </w:rPr>
              <w:t xml:space="preserve">Monthly volumes and rates</w:t>
            </w:r>
          </w:p>
        </w:tc>
        <w:tc>
          <w:tcPr>
            <w:tcW w:type="dxa" w:w="4300"/>
            <w:vAlign w:val="center"/>
          </w:tcPr>
          <w:p>
            <w:pPr>
              <w:spacing w:after="0" w:before="0" w:line="240" w:lineRule="auto"/>
            </w:pPr>
            <w:r>
              <w:rPr>
                <w:color w:val="000000"/>
                <w:sz w:val="17"/>
              </w:rPr>
              <w:t xml:space="preserve">Workload and exception levels</w:t>
            </w:r>
          </w:p>
        </w:tc>
        <w:tc>
          <w:tcPr>
            <w:tcW w:type="dxa" w:w="3324"/>
            <w:vAlign w:val="center"/>
          </w:tcPr>
          <w:p>
            <w:pPr>
              <w:spacing w:after="0" w:before="0" w:line="240" w:lineRule="auto"/>
            </w:pPr>
            <w:r>
              <w:rPr>
                <w:color w:val="000000"/>
                <w:sz w:val="17"/>
              </w:rPr>
              <w:t xml:space="preserve">ERP and system reports for the last 12 months</w:t>
            </w:r>
          </w:p>
        </w:tc>
      </w:tr>
      <w:tr>
        <w:trPr>
          <w:cantSplit/>
        </w:trPr>
        <w:tc>
          <w:tcPr>
            <w:tcW w:type="dxa" w:w="2600"/>
            <w:vAlign w:val="center"/>
          </w:tcPr>
          <w:p>
            <w:pPr>
              <w:spacing w:after="0" w:before="0" w:line="240" w:lineRule="auto"/>
            </w:pPr>
            <w:r>
              <w:rPr>
                <w:b/>
                <w:color w:val="000000"/>
                <w:sz w:val="17"/>
              </w:rPr>
              <w:t xml:space="preserve">Seasonality and leave</w:t>
            </w:r>
          </w:p>
        </w:tc>
        <w:tc>
          <w:tcPr>
            <w:tcW w:type="dxa" w:w="4300"/>
            <w:vAlign w:val="center"/>
          </w:tcPr>
          <w:p>
            <w:pPr>
              <w:spacing w:after="0" w:before="0" w:line="240" w:lineRule="auto"/>
            </w:pPr>
            <w:r>
              <w:rPr>
                <w:color w:val="000000"/>
                <w:sz w:val="17"/>
              </w:rPr>
              <w:t xml:space="preserve">Which months are tight</w:t>
            </w:r>
          </w:p>
        </w:tc>
        <w:tc>
          <w:tcPr>
            <w:tcW w:type="dxa" w:w="3324"/>
            <w:vAlign w:val="center"/>
          </w:tcPr>
          <w:p>
            <w:pPr>
              <w:spacing w:after="0" w:before="0" w:line="240" w:lineRule="auto"/>
            </w:pPr>
            <w:r>
              <w:rPr>
                <w:color w:val="000000"/>
                <w:sz w:val="17"/>
              </w:rPr>
              <w:t xml:space="preserve">Volumes by month; the leave calendar</w:t>
            </w:r>
          </w:p>
        </w:tc>
      </w:tr>
      <w:tr>
        <w:trPr>
          <w:cantSplit/>
        </w:trPr>
        <w:tc>
          <w:tcPr>
            <w:tcW w:type="dxa" w:w="2600"/>
            <w:vAlign w:val="center"/>
          </w:tcPr>
          <w:p>
            <w:pPr>
              <w:spacing w:after="0" w:before="0" w:line="240" w:lineRule="auto"/>
            </w:pPr>
            <w:r>
              <w:rPr>
                <w:b/>
                <w:color w:val="000000"/>
                <w:sz w:val="17"/>
              </w:rPr>
              <w:t xml:space="preserve">Agent acceptance, review threshold and sample rate</w:t>
            </w:r>
          </w:p>
        </w:tc>
        <w:tc>
          <w:tcPr>
            <w:tcW w:type="dxa" w:w="4300"/>
            <w:vAlign w:val="center"/>
          </w:tcPr>
          <w:p>
            <w:pPr>
              <w:spacing w:after="0" w:before="0" w:line="240" w:lineRule="auto"/>
            </w:pPr>
            <w:r>
              <w:rPr>
                <w:color w:val="000000"/>
                <w:sz w:val="17"/>
              </w:rPr>
              <w:t xml:space="preserve">How much work comes back to people</w:t>
            </w:r>
          </w:p>
        </w:tc>
        <w:tc>
          <w:tcPr>
            <w:tcW w:type="dxa" w:w="3324"/>
            <w:vAlign w:val="center"/>
          </w:tcPr>
          <w:p>
            <w:pPr>
              <w:spacing w:after="0" w:before="0" w:line="240" w:lineRule="auto"/>
            </w:pPr>
            <w:r>
              <w:rPr>
                <w:color w:val="000000"/>
                <w:sz w:val="17"/>
              </w:rPr>
              <w:t xml:space="preserve">Shadow-mode results in the rollout</w:t>
            </w:r>
          </w:p>
        </w:tc>
      </w:tr>
      <w:tr>
        <w:trPr>
          <w:cantSplit/>
        </w:trPr>
        <w:tc>
          <w:tcPr>
            <w:tcW w:type="dxa" w:w="2600"/>
            <w:vAlign w:val="center"/>
          </w:tcPr>
          <w:p>
            <w:pPr>
              <w:spacing w:after="0" w:before="0" w:line="240" w:lineRule="auto"/>
            </w:pPr>
            <w:r>
              <w:rPr>
                <w:b/>
                <w:color w:val="000000"/>
                <w:sz w:val="17"/>
              </w:rPr>
              <w:t xml:space="preserve">Agent processing time and concurrency</w:t>
            </w:r>
          </w:p>
        </w:tc>
        <w:tc>
          <w:tcPr>
            <w:tcW w:type="dxa" w:w="4300"/>
            <w:vAlign w:val="center"/>
          </w:tcPr>
          <w:p>
            <w:pPr>
              <w:spacing w:after="0" w:before="0" w:line="240" w:lineRule="auto"/>
            </w:pPr>
            <w:r>
              <w:rPr>
                <w:color w:val="000000"/>
                <w:sz w:val="17"/>
              </w:rPr>
              <w:t xml:space="preserve">How long agent steps take and how many run at once</w:t>
            </w:r>
          </w:p>
        </w:tc>
        <w:tc>
          <w:tcPr>
            <w:tcW w:type="dxa" w:w="3324"/>
            <w:vAlign w:val="center"/>
          </w:tcPr>
          <w:p>
            <w:pPr>
              <w:spacing w:after="0" w:before="0" w:line="240" w:lineRule="auto"/>
            </w:pPr>
            <w:r>
              <w:rPr>
                <w:color w:val="000000"/>
                <w:sz w:val="17"/>
              </w:rPr>
              <w:t xml:space="preserve">Provider measurements during the pilot</w:t>
            </w:r>
          </w:p>
        </w:tc>
      </w:tr>
      <w:tr>
        <w:trPr>
          <w:cantSplit/>
        </w:trPr>
        <w:tc>
          <w:tcPr>
            <w:tcW w:type="dxa" w:w="2600"/>
            <w:vAlign w:val="center"/>
          </w:tcPr>
          <w:p>
            <w:pPr>
              <w:spacing w:after="0" w:before="0" w:line="240" w:lineRule="auto"/>
            </w:pPr>
            <w:r>
              <w:rPr>
                <w:b/>
                <w:color w:val="000000"/>
                <w:sz w:val="17"/>
              </w:rPr>
              <w:t xml:space="preserve">Engine settings</w:t>
            </w:r>
          </w:p>
        </w:tc>
        <w:tc>
          <w:tcPr>
            <w:tcW w:type="dxa" w:w="4300"/>
            <w:vAlign w:val="center"/>
          </w:tcPr>
          <w:p>
            <w:pPr>
              <w:spacing w:after="0" w:before="0" w:line="240" w:lineRule="auto"/>
            </w:pPr>
            <w:r>
              <w:rPr>
                <w:color w:val="000000"/>
                <w:sz w:val="17"/>
              </w:rPr>
              <w:t xml:space="preserve">Share of other work kept in peaks, overtime and priority rules shape how fast the close runs</w:t>
            </w:r>
          </w:p>
        </w:tc>
        <w:tc>
          <w:tcPr>
            <w:tcW w:type="dxa" w:w="3324"/>
            <w:vAlign w:val="center"/>
          </w:tcPr>
          <w:p>
            <w:pPr>
              <w:spacing w:after="0" w:before="0" w:line="240" w:lineRule="auto"/>
            </w:pPr>
            <w:r>
              <w:rPr>
                <w:color w:val="000000"/>
                <w:sz w:val="17"/>
              </w:rPr>
              <w:t xml:space="preserve">Observation of the close; the back-test</w:t>
            </w:r>
          </w:p>
        </w:tc>
      </w:tr>
      <w:tr>
        <w:trPr>
          <w:cantSplit/>
        </w:trPr>
        <w:tc>
          <w:tcPr>
            <w:tcW w:type="dxa" w:w="2600"/>
            <w:vAlign w:val="center"/>
          </w:tcPr>
          <w:p>
            <w:pPr>
              <w:spacing w:after="0" w:before="0" w:line="240" w:lineRule="auto"/>
            </w:pPr>
            <w:r>
              <w:rPr>
                <w:b/>
                <w:color w:val="000000"/>
                <w:sz w:val="17"/>
              </w:rPr>
              <w:t xml:space="preserve">Actual timetable today</w:t>
            </w:r>
          </w:p>
        </w:tc>
        <w:tc>
          <w:tcPr>
            <w:tcW w:type="dxa" w:w="4300"/>
            <w:vAlign w:val="center"/>
          </w:tcPr>
          <w:p>
            <w:pPr>
              <w:spacing w:after="0" w:before="0" w:line="240" w:lineRule="auto"/>
            </w:pPr>
            <w:r>
              <w:rPr>
                <w:color w:val="000000"/>
                <w:sz w:val="17"/>
              </w:rPr>
              <w:t xml:space="preserve">The model check compares today’s simulated close and pack days with these</w:t>
            </w:r>
          </w:p>
        </w:tc>
        <w:tc>
          <w:tcPr>
            <w:tcW w:type="dxa" w:w="3324"/>
            <w:vAlign w:val="center"/>
          </w:tcPr>
          <w:p>
            <w:pPr>
              <w:spacing w:after="0" w:before="0" w:line="240" w:lineRule="auto"/>
            </w:pPr>
            <w:r>
              <w:rPr>
                <w:color w:val="000000"/>
                <w:sz w:val="17"/>
              </w:rPr>
              <w:t xml:space="preserve">The last twelve months’ close calendar</w:t>
            </w:r>
          </w:p>
        </w:tc>
      </w:tr>
      <w:tr>
        <w:trPr>
          <w:cantSplit/>
        </w:trPr>
        <w:tc>
          <w:tcPr>
            <w:tcW w:type="dxa" w:w="2600"/>
            <w:vAlign w:val="center"/>
          </w:tcPr>
          <w:p>
            <w:pPr>
              <w:spacing w:after="0" w:before="0" w:line="240" w:lineRule="auto"/>
            </w:pPr>
            <w:r>
              <w:rPr>
                <w:b/>
                <w:color w:val="000000"/>
                <w:sz w:val="17"/>
              </w:rPr>
              <w:t xml:space="preserve">Financial assumptions</w:t>
            </w:r>
          </w:p>
        </w:tc>
        <w:tc>
          <w:tcPr>
            <w:tcW w:type="dxa" w:w="4300"/>
            <w:vAlign w:val="center"/>
          </w:tcPr>
          <w:p>
            <w:pPr>
              <w:spacing w:after="0" w:before="0" w:line="240" w:lineRule="auto"/>
            </w:pPr>
            <w:r>
              <w:rPr>
                <w:color w:val="000000"/>
                <w:sz w:val="17"/>
              </w:rPr>
              <w:t xml:space="preserve">Statement values, agent costs, losses, cash</w:t>
            </w:r>
          </w:p>
        </w:tc>
        <w:tc>
          <w:tcPr>
            <w:tcW w:type="dxa" w:w="3324"/>
            <w:vAlign w:val="center"/>
          </w:tcPr>
          <w:p>
            <w:pPr>
              <w:spacing w:after="0" w:before="0" w:line="240" w:lineRule="auto"/>
            </w:pPr>
            <w:r>
              <w:rPr>
                <w:color w:val="000000"/>
                <w:sz w:val="17"/>
              </w:rPr>
              <w:t xml:space="preserve">Management accounts; provider pricing; fraud and duplicate history</w:t>
            </w:r>
          </w:p>
        </w:tc>
      </w:tr>
      <w:tr>
        <w:trPr>
          <w:cantSplit/>
        </w:trPr>
        <w:tc>
          <w:tcPr>
            <w:tcW w:type="dxa" w:w="2600"/>
            <w:vAlign w:val="center"/>
          </w:tcPr>
          <w:p>
            <w:pPr>
              <w:spacing w:after="0" w:before="0" w:line="240" w:lineRule="auto"/>
            </w:pPr>
            <w:r>
              <w:rPr>
                <w:b/>
                <w:color w:val="000000"/>
                <w:sz w:val="17"/>
              </w:rPr>
              <w:t xml:space="preserve">Calendar</w:t>
            </w:r>
          </w:p>
        </w:tc>
        <w:tc>
          <w:tcPr>
            <w:tcW w:type="dxa" w:w="4300"/>
            <w:vAlign w:val="center"/>
          </w:tcPr>
          <w:p>
            <w:pPr>
              <w:spacing w:after="0" w:before="0" w:line="240" w:lineRule="auto"/>
            </w:pPr>
            <w:r>
              <w:rPr>
                <w:color w:val="000000"/>
                <w:sz w:val="17"/>
              </w:rPr>
              <w:t xml:space="preserve">Working days, payment, payroll, VAT and board dates</w:t>
            </w:r>
          </w:p>
        </w:tc>
        <w:tc>
          <w:tcPr>
            <w:tcW w:type="dxa" w:w="3324"/>
            <w:vAlign w:val="center"/>
          </w:tcPr>
          <w:p>
            <w:pPr>
              <w:spacing w:after="0" w:before="0" w:line="240" w:lineRule="auto"/>
            </w:pPr>
            <w:r>
              <w:rPr>
                <w:color w:val="000000"/>
                <w:sz w:val="17"/>
              </w:rPr>
              <w:t xml:space="preserve">The finance calendar and gov.uk bank holidays</w:t>
            </w:r>
          </w:p>
        </w:tc>
      </w:tr>
    </w:tbl>
    <w:p>
      <w:pPr>
        <w:pStyle w:val="Title"/>
        <w:pageBreakBefore/>
      </w:pPr>
      <w:r>
        <w:t>CFO office process guide</w:t>
      </w:r>
    </w:p>
    <w:p>
      <w:pPr>
        <w:pStyle w:val="Heading1"/>
      </w:pPr>
      <w:r>
        <w:t xml:space="preserve">Model parameters</w:t>
      </w:r>
    </w:p>
    <w:p>
      <w:pPr>
        <w:spacing w:after="100"/>
      </w:pPr>
      <w:r>
        <w:t xml:space="preserve">Every number that affects a result is an input on the page or in the task table; the code holds no business data of its own apart from these defaults, which can be replaced by loading a scenario file.</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6"/>
              </w:rPr>
              <w:t xml:space="preserve">Engine and arrival settings</w:t>
            </w:r>
          </w:p>
        </w:tc>
        <w:tc>
          <w:tcPr>
            <w:tcW w:type="dxa" w:w="3000"/>
            <w:shd w:val="clear" w:color="auto" w:fill="DCE6F1"/>
            <w:vAlign w:val="center"/>
          </w:tcPr>
          <w:p>
            <w:pPr>
              <w:spacing w:after="0" w:before="0" w:line="240" w:lineRule="auto"/>
            </w:pPr>
            <w:r>
              <w:rPr>
                <w:b/>
                <w:color w:val="000000"/>
                <w:sz w:val="16"/>
              </w:rPr>
              <w:t xml:space="preserve">Default</w:t>
            </w:r>
          </w:p>
        </w:tc>
      </w:tr>
      <w:tr>
        <w:trPr>
          <w:cantSplit/>
        </w:trPr>
        <w:tc>
          <w:tcPr>
            <w:tcW w:type="dxa" w:w="7224"/>
            <w:vAlign w:val="center"/>
          </w:tcPr>
          <w:p>
            <w:pPr>
              <w:spacing w:after="0" w:before="0" w:line="240" w:lineRule="auto"/>
            </w:pPr>
            <w:r>
              <w:rPr>
                <w:b/>
                <w:color w:val="000000"/>
                <w:sz w:val="16"/>
              </w:rPr>
              <w:t xml:space="preserve">Power BI refresh after the close is signed off (minutes)</w:t>
            </w:r>
          </w:p>
        </w:tc>
        <w:tc>
          <w:tcPr>
            <w:tcW w:type="dxa" w:w="3000"/>
            <w:vAlign w:val="center"/>
          </w:tcPr>
          <w:p>
            <w:pPr>
              <w:spacing w:after="0" w:before="0" w:line="240" w:lineRule="auto"/>
            </w:pPr>
            <w:r>
              <w:rPr>
                <w:color w:val="000000"/>
                <w:sz w:val="16"/>
                <w:highlight w:val="yellow"/>
              </w:rPr>
              <w:t xml:space="preserve">[20]</w:t>
            </w:r>
          </w:p>
        </w:tc>
      </w:tr>
      <w:tr>
        <w:trPr>
          <w:cantSplit/>
        </w:trPr>
        <w:tc>
          <w:tcPr>
            <w:tcW w:type="dxa" w:w="7224"/>
            <w:vAlign w:val="center"/>
          </w:tcPr>
          <w:p>
            <w:pPr>
              <w:spacing w:after="0" w:before="0" w:line="240" w:lineRule="auto"/>
            </w:pPr>
            <w:r>
              <w:rPr>
                <w:b/>
                <w:color w:val="000000"/>
                <w:sz w:val="16"/>
              </w:rPr>
              <w:t xml:space="preserve">Working hours in a day</w:t>
            </w:r>
          </w:p>
        </w:tc>
        <w:tc>
          <w:tcPr>
            <w:tcW w:type="dxa" w:w="3000"/>
            <w:vAlign w:val="center"/>
          </w:tcPr>
          <w:p>
            <w:pPr>
              <w:spacing w:after="0" w:before="0" w:line="240" w:lineRule="auto"/>
            </w:pPr>
            <w:r>
              <w:rPr>
                <w:color w:val="000000"/>
                <w:sz w:val="16"/>
                <w:highlight w:val="yellow"/>
              </w:rPr>
              <w:t xml:space="preserve">[7.5]</w:t>
            </w:r>
          </w:p>
        </w:tc>
      </w:tr>
      <w:tr>
        <w:trPr>
          <w:cantSplit/>
        </w:trPr>
        <w:tc>
          <w:tcPr>
            <w:tcW w:type="dxa" w:w="7224"/>
            <w:vAlign w:val="center"/>
          </w:tcPr>
          <w:p>
            <w:pPr>
              <w:spacing w:after="0" w:before="0" w:line="240" w:lineRule="auto"/>
            </w:pPr>
            <w:r>
              <w:rPr>
                <w:b/>
                <w:color w:val="000000"/>
                <w:sz w:val="16"/>
              </w:rPr>
              <w:t xml:space="preserve">Most of a role’s time that other work can take (%)</w:t>
            </w:r>
          </w:p>
        </w:tc>
        <w:tc>
          <w:tcPr>
            <w:tcW w:type="dxa" w:w="3000"/>
            <w:vAlign w:val="center"/>
          </w:tcPr>
          <w:p>
            <w:pPr>
              <w:spacing w:after="0" w:before="0" w:line="240" w:lineRule="auto"/>
            </w:pPr>
            <w:r>
              <w:rPr>
                <w:color w:val="000000"/>
                <w:sz w:val="16"/>
                <w:highlight w:val="yellow"/>
              </w:rPr>
              <w:t xml:space="preserve">[95]</w:t>
            </w:r>
          </w:p>
        </w:tc>
      </w:tr>
      <w:tr>
        <w:trPr>
          <w:cantSplit/>
        </w:trPr>
        <w:tc>
          <w:tcPr>
            <w:tcW w:type="dxa" w:w="7224"/>
            <w:vAlign w:val="center"/>
          </w:tcPr>
          <w:p>
            <w:pPr>
              <w:spacing w:after="0" w:before="0" w:line="240" w:lineRule="auto"/>
            </w:pPr>
            <w:r>
              <w:rPr>
                <w:b/>
                <w:color w:val="000000"/>
                <w:sz w:val="16"/>
              </w:rPr>
              <w:t xml:space="preserve">Hand-off between people or systems (minutes)</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Share of the working day over which new work arrives (%)</w:t>
            </w:r>
          </w:p>
        </w:tc>
        <w:tc>
          <w:tcPr>
            <w:tcW w:type="dxa" w:w="3000"/>
            <w:vAlign w:val="center"/>
          </w:tcPr>
          <w:p>
            <w:pPr>
              <w:spacing w:after="0" w:before="0" w:line="240" w:lineRule="auto"/>
            </w:pPr>
            <w:r>
              <w:rPr>
                <w:color w:val="000000"/>
                <w:sz w:val="16"/>
                <w:highlight w:val="yellow"/>
              </w:rPr>
              <w:t xml:space="preserve">[90]</w:t>
            </w:r>
          </w:p>
        </w:tc>
      </w:tr>
      <w:tr>
        <w:trPr>
          <w:cantSplit/>
        </w:trPr>
        <w:tc>
          <w:tcPr>
            <w:tcW w:type="dxa" w:w="7224"/>
            <w:vAlign w:val="center"/>
          </w:tcPr>
          <w:p>
            <w:pPr>
              <w:spacing w:after="0" w:before="0" w:line="240" w:lineRule="auto"/>
            </w:pPr>
            <w:r>
              <w:rPr>
                <w:b/>
                <w:color w:val="000000"/>
                <w:sz w:val="16"/>
              </w:rPr>
              <w:t xml:space="preserve">Longest stretch a person spends on one task before switching to more urgent waiting work (hours)</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Board decision: external delay before a decision comes back (working days)</w:t>
            </w:r>
          </w:p>
        </w:tc>
        <w:tc>
          <w:tcPr>
            <w:tcW w:type="dxa" w:w="3000"/>
            <w:vAlign w:val="center"/>
          </w:tcPr>
          <w:p>
            <w:pPr>
              <w:spacing w:after="0" w:before="0" w:line="240" w:lineRule="auto"/>
            </w:pPr>
            <w:r>
              <w:rPr>
                <w:color w:val="000000"/>
                <w:sz w:val="16"/>
                <w:highlight w:val="yellow"/>
              </w:rPr>
              <w:t xml:space="preserve">[0.15]</w:t>
            </w:r>
          </w:p>
        </w:tc>
      </w:tr>
      <w:tr>
        <w:trPr>
          <w:cantSplit/>
        </w:trPr>
        <w:tc>
          <w:tcPr>
            <w:tcW w:type="dxa" w:w="7224"/>
            <w:vAlign w:val="center"/>
          </w:tcPr>
          <w:p>
            <w:pPr>
              <w:spacing w:after="0" w:before="0" w:line="240" w:lineRule="auto"/>
            </w:pPr>
            <w:r>
              <w:rPr>
                <w:b/>
                <w:color w:val="000000"/>
                <w:sz w:val="16"/>
              </w:rPr>
              <w:t xml:space="preserve">External advisers or auditors: external delay (working days)</w:t>
            </w:r>
          </w:p>
        </w:tc>
        <w:tc>
          <w:tcPr>
            <w:tcW w:type="dxa" w:w="3000"/>
            <w:vAlign w:val="center"/>
          </w:tcPr>
          <w:p>
            <w:pPr>
              <w:spacing w:after="0" w:before="0" w:line="240" w:lineRule="auto"/>
            </w:pPr>
            <w:r>
              <w:rPr>
                <w:color w:val="000000"/>
                <w:sz w:val="16"/>
                <w:highlight w:val="yellow"/>
              </w:rPr>
              <w:t xml:space="preserve">[0.5]</w:t>
            </w:r>
          </w:p>
        </w:tc>
      </w:tr>
      <w:tr>
        <w:trPr>
          <w:cantSplit/>
        </w:trPr>
        <w:tc>
          <w:tcPr>
            <w:tcW w:type="dxa" w:w="7224"/>
            <w:vAlign w:val="center"/>
          </w:tcPr>
          <w:p>
            <w:pPr>
              <w:spacing w:after="0" w:before="0" w:line="240" w:lineRule="auto"/>
            </w:pPr>
            <w:r>
              <w:rPr>
                <w:b/>
                <w:color w:val="000000"/>
                <w:sz w:val="16"/>
              </w:rPr>
              <w:t xml:space="preserve">Other work set aside in peaks is deferred, not cancelled (1 = deferred, 0 = cancelled)</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Most extra time per day spent catching up deferred other work (% of the day)</w:t>
            </w:r>
          </w:p>
        </w:tc>
        <w:tc>
          <w:tcPr>
            <w:tcW w:type="dxa" w:w="3000"/>
            <w:vAlign w:val="center"/>
          </w:tcPr>
          <w:p>
            <w:pPr>
              <w:spacing w:after="0" w:before="0" w:line="240" w:lineRule="auto"/>
            </w:pPr>
            <w:r>
              <w:rPr>
                <w:color w:val="000000"/>
                <w:sz w:val="16"/>
                <w:highlight w:val="yellow"/>
              </w:rPr>
              <w:t xml:space="preserve">[20]</w:t>
            </w:r>
          </w:p>
        </w:tc>
      </w:tr>
      <w:tr>
        <w:trPr>
          <w:cantSplit/>
        </w:trPr>
        <w:tc>
          <w:tcPr>
            <w:tcW w:type="dxa" w:w="7224"/>
            <w:vAlign w:val="center"/>
          </w:tcPr>
          <w:p>
            <w:pPr>
              <w:spacing w:after="0" w:before="0" w:line="240" w:lineRule="auto"/>
            </w:pPr>
            <w:r>
              <w:rPr>
                <w:b/>
                <w:color w:val="000000"/>
                <w:sz w:val="16"/>
              </w:rPr>
              <w:t xml:space="preserve">Days a month may run past month-end before it is stopped</w:t>
            </w:r>
          </w:p>
        </w:tc>
        <w:tc>
          <w:tcPr>
            <w:tcW w:type="dxa" w:w="3000"/>
            <w:vAlign w:val="center"/>
          </w:tcPr>
          <w:p>
            <w:pPr>
              <w:spacing w:after="0" w:before="0" w:line="240" w:lineRule="auto"/>
            </w:pPr>
            <w:r>
              <w:rPr>
                <w:color w:val="000000"/>
                <w:sz w:val="16"/>
                <w:highlight w:val="yellow"/>
              </w:rPr>
              <w:t xml:space="preserve">[25]</w:t>
            </w:r>
          </w:p>
        </w:tc>
      </w:tr>
      <w:tr>
        <w:trPr>
          <w:cantSplit/>
        </w:trPr>
        <w:tc>
          <w:tcPr>
            <w:tcW w:type="dxa" w:w="7224"/>
            <w:vAlign w:val="center"/>
          </w:tcPr>
          <w:p>
            <w:pPr>
              <w:spacing w:after="0" w:before="0" w:line="240" w:lineRule="auto"/>
            </w:pPr>
            <w:r>
              <w:rPr>
                <w:b/>
                <w:color w:val="000000"/>
                <w:sz w:val="16"/>
              </w:rPr>
              <w:t xml:space="preserve">Arrival weighting: Monday</w:t>
            </w:r>
          </w:p>
        </w:tc>
        <w:tc>
          <w:tcPr>
            <w:tcW w:type="dxa" w:w="3000"/>
            <w:vAlign w:val="center"/>
          </w:tcPr>
          <w:p>
            <w:pPr>
              <w:spacing w:after="0" w:before="0" w:line="240" w:lineRule="auto"/>
            </w:pPr>
            <w:r>
              <w:rPr>
                <w:color w:val="000000"/>
                <w:sz w:val="16"/>
                <w:highlight w:val="yellow"/>
              </w:rPr>
              <w:t xml:space="preserve">[1.15]</w:t>
            </w:r>
          </w:p>
        </w:tc>
      </w:tr>
      <w:tr>
        <w:trPr>
          <w:cantSplit/>
        </w:trPr>
        <w:tc>
          <w:tcPr>
            <w:tcW w:type="dxa" w:w="7224"/>
            <w:vAlign w:val="center"/>
          </w:tcPr>
          <w:p>
            <w:pPr>
              <w:spacing w:after="0" w:before="0" w:line="240" w:lineRule="auto"/>
            </w:pPr>
            <w:r>
              <w:rPr>
                <w:b/>
                <w:color w:val="000000"/>
                <w:sz w:val="16"/>
              </w:rPr>
              <w:t xml:space="preserve">Arrival weighting: Tuesday</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Arrival weighting: Wednesday</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Arrival weighting: Thursday</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Arrival weighting: Friday</w:t>
            </w:r>
          </w:p>
        </w:tc>
        <w:tc>
          <w:tcPr>
            <w:tcW w:type="dxa" w:w="3000"/>
            <w:vAlign w:val="center"/>
          </w:tcPr>
          <w:p>
            <w:pPr>
              <w:spacing w:after="0" w:before="0" w:line="240" w:lineRule="auto"/>
            </w:pPr>
            <w:r>
              <w:rPr>
                <w:color w:val="000000"/>
                <w:sz w:val="16"/>
                <w:highlight w:val="yellow"/>
              </w:rPr>
              <w:t xml:space="preserve">[0.85]</w:t>
            </w:r>
          </w:p>
        </w:tc>
      </w:tr>
      <w:tr>
        <w:trPr>
          <w:cantSplit/>
        </w:trPr>
        <w:tc>
          <w:tcPr>
            <w:tcW w:type="dxa" w:w="7224"/>
            <w:vAlign w:val="center"/>
          </w:tcPr>
          <w:p>
            <w:pPr>
              <w:spacing w:after="0" w:before="0" w:line="240" w:lineRule="auto"/>
            </w:pPr>
            <w:r>
              <w:rPr>
                <w:b/>
                <w:color w:val="000000"/>
                <w:sz w:val="16"/>
              </w:rPr>
              <w:t xml:space="preserve">Month-end rush: last N working days</w:t>
            </w:r>
          </w:p>
        </w:tc>
        <w:tc>
          <w:tcPr>
            <w:tcW w:type="dxa" w:w="3000"/>
            <w:vAlign w:val="center"/>
          </w:tcPr>
          <w:p>
            <w:pPr>
              <w:spacing w:after="0" w:before="0" w:line="240" w:lineRule="auto"/>
            </w:pPr>
            <w:r>
              <w:rPr>
                <w:color w:val="000000"/>
                <w:sz w:val="16"/>
                <w:highlight w:val="yellow"/>
              </w:rPr>
              <w:t xml:space="preserve">[3]</w:t>
            </w:r>
          </w:p>
        </w:tc>
      </w:tr>
      <w:tr>
        <w:trPr>
          <w:cantSplit/>
        </w:trPr>
        <w:tc>
          <w:tcPr>
            <w:tcW w:type="dxa" w:w="7224"/>
            <w:vAlign w:val="center"/>
          </w:tcPr>
          <w:p>
            <w:pPr>
              <w:spacing w:after="0" w:before="0" w:line="240" w:lineRule="auto"/>
            </w:pPr>
            <w:r>
              <w:rPr>
                <w:b/>
                <w:color w:val="000000"/>
                <w:sz w:val="16"/>
              </w:rPr>
              <w:t xml:space="preserve">Month-end rush: arrivals in those days (% of normal)</w:t>
            </w:r>
          </w:p>
        </w:tc>
        <w:tc>
          <w:tcPr>
            <w:tcW w:type="dxa" w:w="3000"/>
            <w:vAlign w:val="center"/>
          </w:tcPr>
          <w:p>
            <w:pPr>
              <w:spacing w:after="0" w:before="0" w:line="240" w:lineRule="auto"/>
            </w:pPr>
            <w:r>
              <w:rPr>
                <w:color w:val="000000"/>
                <w:sz w:val="16"/>
                <w:highlight w:val="yellow"/>
              </w:rPr>
              <w:t xml:space="preserve">[130]</w:t>
            </w:r>
          </w:p>
        </w:tc>
      </w:tr>
      <w:tr>
        <w:trPr>
          <w:cantSplit/>
        </w:trPr>
        <w:tc>
          <w:tcPr>
            <w:tcW w:type="dxa" w:w="7224"/>
            <w:vAlign w:val="center"/>
          </w:tcPr>
          <w:p>
            <w:pPr>
              <w:spacing w:after="0" w:before="0" w:line="240" w:lineRule="auto"/>
            </w:pPr>
            <w:r>
              <w:rPr>
                <w:b/>
                <w:color w:val="000000"/>
                <w:sz w:val="16"/>
              </w:rPr>
              <w:t xml:space="preserve">Share of other work kept during the close and reporting (%), calibrated with overtime so today matches the actual close</w:t>
            </w:r>
          </w:p>
        </w:tc>
        <w:tc>
          <w:tcPr>
            <w:tcW w:type="dxa" w:w="3000"/>
            <w:vAlign w:val="center"/>
          </w:tcPr>
          <w:p>
            <w:pPr>
              <w:spacing w:after="0" w:before="0" w:line="240" w:lineRule="auto"/>
            </w:pPr>
            <w:r>
              <w:rPr>
                <w:color w:val="000000"/>
                <w:sz w:val="16"/>
                <w:highlight w:val="yellow"/>
              </w:rPr>
              <w:t xml:space="preserve">[5]</w:t>
            </w:r>
          </w:p>
        </w:tc>
      </w:tr>
      <w:tr>
        <w:trPr>
          <w:cantSplit/>
        </w:trPr>
        <w:tc>
          <w:tcPr>
            <w:tcW w:type="dxa" w:w="7224"/>
            <w:vAlign w:val="center"/>
          </w:tcPr>
          <w:p>
            <w:pPr>
              <w:spacing w:after="0" w:before="0" w:line="240" w:lineRule="auto"/>
            </w:pPr>
            <w:r>
              <w:rPr>
                <w:b/>
                <w:color w:val="000000"/>
                <w:sz w:val="16"/>
              </w:rPr>
              <w:t xml:space="preserve">Overtime per person per day during the close and reporting (hours), calibrated</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Close tasks go ahead of routine work (1 = yes, 0 = no)</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Reporting tasks go ahead of routine work (1 = yes, 0 = no)</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Payroll, payment runs and HMRC payments go ahead (1 = yes, 0 = no)</w:t>
            </w:r>
          </w:p>
        </w:tc>
        <w:tc>
          <w:tcPr>
            <w:tcW w:type="dxa" w:w="3000"/>
            <w:vAlign w:val="center"/>
          </w:tcPr>
          <w:p>
            <w:pPr>
              <w:spacing w:after="0" w:before="0" w:line="240" w:lineRule="auto"/>
            </w:pPr>
            <w:r>
              <w:rPr>
                <w:color w:val="000000"/>
                <w:sz w:val="16"/>
                <w:highlight w:val="yellow"/>
              </w:rPr>
              <w:t xml:space="preserve">[1]</w:t>
            </w:r>
          </w:p>
        </w:tc>
      </w:tr>
    </w:tbl>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6"/>
              </w:rPr>
              <w:t xml:space="preserve">Recommended model and timetable settings</w:t>
            </w:r>
          </w:p>
        </w:tc>
        <w:tc>
          <w:tcPr>
            <w:tcW w:type="dxa" w:w="3000"/>
            <w:shd w:val="clear" w:color="auto" w:fill="DCE6F1"/>
            <w:vAlign w:val="center"/>
          </w:tcPr>
          <w:p>
            <w:pPr>
              <w:spacing w:after="0" w:before="0" w:line="240" w:lineRule="auto"/>
            </w:pPr>
            <w:r>
              <w:rPr>
                <w:b/>
                <w:color w:val="000000"/>
                <w:sz w:val="16"/>
              </w:rPr>
              <w:t xml:space="preserve">Default</w:t>
            </w:r>
          </w:p>
        </w:tc>
      </w:tr>
      <w:tr>
        <w:trPr>
          <w:cantSplit/>
        </w:trPr>
        <w:tc>
          <w:tcPr>
            <w:tcW w:type="dxa" w:w="7224"/>
            <w:vAlign w:val="center"/>
          </w:tcPr>
          <w:p>
            <w:pPr>
              <w:spacing w:after="0" w:before="0" w:line="240" w:lineRule="auto"/>
            </w:pPr>
            <w:r>
              <w:rPr>
                <w:b/>
                <w:color w:val="000000"/>
                <w:sz w:val="16"/>
              </w:rPr>
              <w:t xml:space="preserve">Agent proposals accepted on review (%)</w:t>
            </w:r>
          </w:p>
        </w:tc>
        <w:tc>
          <w:tcPr>
            <w:tcW w:type="dxa" w:w="3000"/>
            <w:vAlign w:val="center"/>
          </w:tcPr>
          <w:p>
            <w:pPr>
              <w:spacing w:after="0" w:before="0" w:line="240" w:lineRule="auto"/>
            </w:pPr>
            <w:r>
              <w:rPr>
                <w:color w:val="000000"/>
                <w:sz w:val="16"/>
                <w:highlight w:val="yellow"/>
              </w:rPr>
              <w:t xml:space="preserve">[75]</w:t>
            </w:r>
          </w:p>
        </w:tc>
      </w:tr>
      <w:tr>
        <w:trPr>
          <w:cantSplit/>
        </w:trPr>
        <w:tc>
          <w:tcPr>
            <w:tcW w:type="dxa" w:w="7224"/>
            <w:vAlign w:val="center"/>
          </w:tcPr>
          <w:p>
            <w:pPr>
              <w:spacing w:after="0" w:before="0" w:line="240" w:lineRule="auto"/>
            </w:pPr>
            <w:r>
              <w:rPr>
                <w:b/>
                <w:color w:val="000000"/>
                <w:sz w:val="16"/>
              </w:rPr>
              <w:t xml:space="preserve">Invoice exceptions below the review threshold (%)</w:t>
            </w:r>
          </w:p>
        </w:tc>
        <w:tc>
          <w:tcPr>
            <w:tcW w:type="dxa" w:w="3000"/>
            <w:vAlign w:val="center"/>
          </w:tcPr>
          <w:p>
            <w:pPr>
              <w:spacing w:after="0" w:before="0" w:line="240" w:lineRule="auto"/>
            </w:pPr>
            <w:r>
              <w:rPr>
                <w:color w:val="000000"/>
                <w:sz w:val="16"/>
                <w:highlight w:val="yellow"/>
              </w:rPr>
              <w:t xml:space="preserve">[60]</w:t>
            </w:r>
          </w:p>
        </w:tc>
      </w:tr>
      <w:tr>
        <w:trPr>
          <w:cantSplit/>
        </w:trPr>
        <w:tc>
          <w:tcPr>
            <w:tcW w:type="dxa" w:w="7224"/>
            <w:vAlign w:val="center"/>
          </w:tcPr>
          <w:p>
            <w:pPr>
              <w:spacing w:after="0" w:before="0" w:line="240" w:lineRule="auto"/>
            </w:pPr>
            <w:r>
              <w:rPr>
                <w:b/>
                <w:color w:val="000000"/>
                <w:sz w:val="16"/>
              </w:rPr>
              <w:t xml:space="preserve">Low-value items sample-checked (%)</w:t>
            </w:r>
          </w:p>
        </w:tc>
        <w:tc>
          <w:tcPr>
            <w:tcW w:type="dxa" w:w="3000"/>
            <w:vAlign w:val="center"/>
          </w:tcPr>
          <w:p>
            <w:pPr>
              <w:spacing w:after="0" w:before="0" w:line="240" w:lineRule="auto"/>
            </w:pPr>
            <w:r>
              <w:rPr>
                <w:color w:val="000000"/>
                <w:sz w:val="16"/>
                <w:highlight w:val="yellow"/>
              </w:rPr>
              <w:t xml:space="preserve">[20]</w:t>
            </w:r>
          </w:p>
        </w:tc>
      </w:tr>
      <w:tr>
        <w:trPr>
          <w:cantSplit/>
        </w:trPr>
        <w:tc>
          <w:tcPr>
            <w:tcW w:type="dxa" w:w="7224"/>
            <w:vAlign w:val="center"/>
          </w:tcPr>
          <w:p>
            <w:pPr>
              <w:spacing w:after="0" w:before="0" w:line="240" w:lineRule="auto"/>
            </w:pPr>
            <w:r>
              <w:rPr>
                <w:b/>
                <w:color w:val="000000"/>
                <w:sz w:val="16"/>
              </w:rPr>
              <w:t xml:space="preserve">Agent processing time per item per step (minutes)</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Runs each agent can do at the same time (per agent, not shared)</w:t>
            </w:r>
          </w:p>
        </w:tc>
        <w:tc>
          <w:tcPr>
            <w:tcW w:type="dxa" w:w="3000"/>
            <w:vAlign w:val="center"/>
          </w:tcPr>
          <w:p>
            <w:pPr>
              <w:spacing w:after="0" w:before="0" w:line="240" w:lineRule="auto"/>
            </w:pPr>
            <w:r>
              <w:rPr>
                <w:color w:val="000000"/>
                <w:sz w:val="16"/>
                <w:highlight w:val="yellow"/>
              </w:rPr>
              <w:t xml:space="preserve">[10]</w:t>
            </w:r>
          </w:p>
        </w:tc>
      </w:tr>
      <w:tr>
        <w:trPr>
          <w:cantSplit/>
        </w:trPr>
        <w:tc>
          <w:tcPr>
            <w:tcW w:type="dxa" w:w="7224"/>
            <w:vAlign w:val="center"/>
          </w:tcPr>
          <w:p>
            <w:pPr>
              <w:spacing w:after="0" w:before="0" w:line="240" w:lineRule="auto"/>
            </w:pPr>
            <w:r>
              <w:rPr>
                <w:b/>
                <w:color w:val="000000"/>
                <w:sz w:val="16"/>
              </w:rPr>
              <w:t xml:space="preserve">Target close with agents, for comparison only (working day)</w:t>
            </w:r>
          </w:p>
        </w:tc>
        <w:tc>
          <w:tcPr>
            <w:tcW w:type="dxa" w:w="3000"/>
            <w:vAlign w:val="center"/>
          </w:tcPr>
          <w:p>
            <w:pPr>
              <w:spacing w:after="0" w:before="0" w:line="240" w:lineRule="auto"/>
            </w:pPr>
            <w:r>
              <w:rPr>
                <w:color w:val="000000"/>
                <w:sz w:val="16"/>
                <w:highlight w:val="yellow"/>
              </w:rPr>
              <w:t xml:space="preserve">[5]</w:t>
            </w:r>
          </w:p>
        </w:tc>
      </w:tr>
      <w:tr>
        <w:trPr>
          <w:cantSplit/>
        </w:trPr>
        <w:tc>
          <w:tcPr>
            <w:tcW w:type="dxa" w:w="7224"/>
            <w:vAlign w:val="center"/>
          </w:tcPr>
          <w:p>
            <w:pPr>
              <w:spacing w:after="0" w:before="0" w:line="240" w:lineRule="auto"/>
            </w:pPr>
            <w:r>
              <w:rPr>
                <w:b/>
                <w:color w:val="000000"/>
                <w:sz w:val="16"/>
              </w:rPr>
              <w:t xml:space="preserve">Target pack issue with agents, for comparison only (working day)</w:t>
            </w:r>
          </w:p>
        </w:tc>
        <w:tc>
          <w:tcPr>
            <w:tcW w:type="dxa" w:w="3000"/>
            <w:vAlign w:val="center"/>
          </w:tcPr>
          <w:p>
            <w:pPr>
              <w:spacing w:after="0" w:before="0" w:line="240" w:lineRule="auto"/>
            </w:pPr>
            <w:r>
              <w:rPr>
                <w:color w:val="000000"/>
                <w:sz w:val="16"/>
                <w:highlight w:val="yellow"/>
              </w:rPr>
              <w:t xml:space="preserve">[8]</w:t>
            </w:r>
          </w:p>
        </w:tc>
      </w:tr>
      <w:tr>
        <w:trPr>
          <w:cantSplit/>
        </w:trPr>
        <w:tc>
          <w:tcPr>
            <w:tcW w:type="dxa" w:w="7224"/>
            <w:vAlign w:val="center"/>
          </w:tcPr>
          <w:p>
            <w:pPr>
              <w:spacing w:after="0" w:before="0" w:line="240" w:lineRule="auto"/>
            </w:pPr>
            <w:r>
              <w:rPr>
                <w:b/>
                <w:color w:val="000000"/>
                <w:sz w:val="16"/>
              </w:rPr>
              <w:t xml:space="preserve">Actual close day today (for the model check)</w:t>
            </w:r>
          </w:p>
        </w:tc>
        <w:tc>
          <w:tcPr>
            <w:tcW w:type="dxa" w:w="3000"/>
            <w:vAlign w:val="center"/>
          </w:tcPr>
          <w:p>
            <w:pPr>
              <w:spacing w:after="0" w:before="0" w:line="240" w:lineRule="auto"/>
            </w:pPr>
            <w:r>
              <w:rPr>
                <w:color w:val="000000"/>
                <w:sz w:val="16"/>
                <w:highlight w:val="yellow"/>
              </w:rPr>
              <w:t xml:space="preserve">[7]</w:t>
            </w:r>
          </w:p>
        </w:tc>
      </w:tr>
      <w:tr>
        <w:trPr>
          <w:cantSplit/>
        </w:trPr>
        <w:tc>
          <w:tcPr>
            <w:tcW w:type="dxa" w:w="7224"/>
            <w:vAlign w:val="center"/>
          </w:tcPr>
          <w:p>
            <w:pPr>
              <w:spacing w:after="0" w:before="0" w:line="240" w:lineRule="auto"/>
            </w:pPr>
            <w:r>
              <w:rPr>
                <w:b/>
                <w:color w:val="000000"/>
                <w:sz w:val="16"/>
              </w:rPr>
              <w:t xml:space="preserve">Actual pack issue day today (for the model check)</w:t>
            </w:r>
          </w:p>
        </w:tc>
        <w:tc>
          <w:tcPr>
            <w:tcW w:type="dxa" w:w="3000"/>
            <w:vAlign w:val="center"/>
          </w:tcPr>
          <w:p>
            <w:pPr>
              <w:spacing w:after="0" w:before="0" w:line="240" w:lineRule="auto"/>
            </w:pPr>
            <w:r>
              <w:rPr>
                <w:color w:val="000000"/>
                <w:sz w:val="16"/>
                <w:highlight w:val="yellow"/>
              </w:rPr>
              <w:t xml:space="preserve">[10]</w:t>
            </w:r>
          </w:p>
        </w:tc>
      </w:tr>
      <w:tr>
        <w:trPr>
          <w:cantSplit/>
        </w:trPr>
        <w:tc>
          <w:tcPr>
            <w:tcW w:type="dxa" w:w="7224"/>
            <w:vAlign w:val="center"/>
          </w:tcPr>
          <w:p>
            <w:pPr>
              <w:spacing w:after="0" w:before="0" w:line="240" w:lineRule="auto"/>
            </w:pPr>
            <w:r>
              <w:rPr>
                <w:b/>
                <w:color w:val="000000"/>
                <w:sz w:val="16"/>
              </w:rPr>
              <w:t xml:space="preserve">No planned leave for close roles in the first N working days</w:t>
            </w:r>
          </w:p>
        </w:tc>
        <w:tc>
          <w:tcPr>
            <w:tcW w:type="dxa" w:w="3000"/>
            <w:vAlign w:val="center"/>
          </w:tcPr>
          <w:p>
            <w:pPr>
              <w:spacing w:after="0" w:before="0" w:line="240" w:lineRule="auto"/>
            </w:pPr>
            <w:r>
              <w:rPr>
                <w:color w:val="000000"/>
                <w:sz w:val="16"/>
                <w:highlight w:val="yellow"/>
              </w:rPr>
              <w:t xml:space="preserve">[7]</w:t>
            </w:r>
          </w:p>
        </w:tc>
      </w:tr>
      <w:tr>
        <w:trPr>
          <w:cantSplit/>
        </w:trPr>
        <w:tc>
          <w:tcPr>
            <w:tcW w:type="dxa" w:w="7224"/>
            <w:vAlign w:val="center"/>
          </w:tcPr>
          <w:p>
            <w:pPr>
              <w:spacing w:after="0" w:before="0" w:line="240" w:lineRule="auto"/>
            </w:pPr>
            <w:r>
              <w:rPr>
                <w:b/>
                <w:color w:val="000000"/>
                <w:sz w:val="16"/>
              </w:rPr>
              <w:t xml:space="preserve">No planned leave for reporting roles up to working day</w:t>
            </w:r>
          </w:p>
        </w:tc>
        <w:tc>
          <w:tcPr>
            <w:tcW w:type="dxa" w:w="3000"/>
            <w:vAlign w:val="center"/>
          </w:tcPr>
          <w:p>
            <w:pPr>
              <w:spacing w:after="0" w:before="0" w:line="240" w:lineRule="auto"/>
            </w:pPr>
            <w:r>
              <w:rPr>
                <w:color w:val="000000"/>
                <w:sz w:val="16"/>
                <w:highlight w:val="yellow"/>
              </w:rPr>
              <w:t xml:space="preserve">[10]</w:t>
            </w:r>
          </w:p>
        </w:tc>
      </w:tr>
    </w:tbl>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7224"/>
        <w:gridCol w:w="3000"/>
      </w:tblGrid>
      <w:tr>
        <w:trPr>
          <w:tblHeader/>
        </w:trPr>
        <w:tc>
          <w:tcPr>
            <w:tcW w:type="dxa" w:w="7224"/>
            <w:shd w:val="clear" w:color="auto" w:fill="DCE6F1"/>
            <w:vAlign w:val="center"/>
          </w:tcPr>
          <w:p>
            <w:pPr>
              <w:spacing w:after="0" w:before="0" w:line="240" w:lineRule="auto"/>
            </w:pPr>
            <w:r>
              <w:rPr>
                <w:b/>
                <w:color w:val="000000"/>
                <w:sz w:val="16"/>
              </w:rPr>
              <w:t xml:space="preserve">Service targets</w:t>
            </w:r>
          </w:p>
        </w:tc>
        <w:tc>
          <w:tcPr>
            <w:tcW w:type="dxa" w:w="3000"/>
            <w:shd w:val="clear" w:color="auto" w:fill="DCE6F1"/>
            <w:vAlign w:val="center"/>
          </w:tcPr>
          <w:p>
            <w:pPr>
              <w:spacing w:after="0" w:before="0" w:line="240" w:lineRule="auto"/>
            </w:pPr>
            <w:r>
              <w:rPr>
                <w:b/>
                <w:color w:val="000000"/>
                <w:sz w:val="16"/>
              </w:rPr>
              <w:t xml:space="preserve">Default</w:t>
            </w:r>
          </w:p>
        </w:tc>
      </w:tr>
      <w:tr>
        <w:trPr>
          <w:cantSplit/>
        </w:trPr>
        <w:tc>
          <w:tcPr>
            <w:tcW w:type="dxa" w:w="7224"/>
            <w:vAlign w:val="center"/>
          </w:tcPr>
          <w:p>
            <w:pPr>
              <w:spacing w:after="0" w:before="0" w:line="240" w:lineRule="auto"/>
            </w:pPr>
            <w:r>
              <w:rPr>
                <w:b/>
                <w:color w:val="000000"/>
                <w:sz w:val="16"/>
              </w:rPr>
              <w:t xml:space="preserve">P1 Governance and control: complete within (working days)</w:t>
            </w:r>
          </w:p>
        </w:tc>
        <w:tc>
          <w:tcPr>
            <w:tcW w:type="dxa" w:w="3000"/>
            <w:vAlign w:val="center"/>
          </w:tcPr>
          <w:p>
            <w:pPr>
              <w:spacing w:after="0" w:before="0" w:line="240" w:lineRule="auto"/>
            </w:pPr>
            <w:r>
              <w:rPr>
                <w:color w:val="000000"/>
                <w:sz w:val="16"/>
                <w:highlight w:val="yellow"/>
              </w:rPr>
              <w:t xml:space="preserve">[5]</w:t>
            </w:r>
          </w:p>
        </w:tc>
      </w:tr>
      <w:tr>
        <w:trPr>
          <w:cantSplit/>
        </w:trPr>
        <w:tc>
          <w:tcPr>
            <w:tcW w:type="dxa" w:w="7224"/>
            <w:vAlign w:val="center"/>
          </w:tcPr>
          <w:p>
            <w:pPr>
              <w:spacing w:after="0" w:before="0" w:line="240" w:lineRule="auto"/>
            </w:pPr>
            <w:r>
              <w:rPr>
                <w:b/>
                <w:color w:val="000000"/>
                <w:sz w:val="16"/>
              </w:rPr>
              <w:t xml:space="preserve">P2 Procure to pay: complete within (working days)</w:t>
            </w:r>
          </w:p>
        </w:tc>
        <w:tc>
          <w:tcPr>
            <w:tcW w:type="dxa" w:w="3000"/>
            <w:vAlign w:val="center"/>
          </w:tcPr>
          <w:p>
            <w:pPr>
              <w:spacing w:after="0" w:before="0" w:line="240" w:lineRule="auto"/>
            </w:pPr>
            <w:r>
              <w:rPr>
                <w:color w:val="000000"/>
                <w:sz w:val="16"/>
                <w:highlight w:val="yellow"/>
              </w:rPr>
              <w:t xml:space="preserve">[3]</w:t>
            </w:r>
          </w:p>
        </w:tc>
      </w:tr>
      <w:tr>
        <w:trPr>
          <w:cantSplit/>
        </w:trPr>
        <w:tc>
          <w:tcPr>
            <w:tcW w:type="dxa" w:w="7224"/>
            <w:vAlign w:val="center"/>
          </w:tcPr>
          <w:p>
            <w:pPr>
              <w:spacing w:after="0" w:before="0" w:line="240" w:lineRule="auto"/>
            </w:pPr>
            <w:r>
              <w:rPr>
                <w:b/>
                <w:color w:val="000000"/>
                <w:sz w:val="16"/>
              </w:rPr>
              <w:t xml:space="preserve">P3 Order to cash: complete within (working days)</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P4 Treasury and cash: complete within (working days)</w:t>
            </w:r>
          </w:p>
        </w:tc>
        <w:tc>
          <w:tcPr>
            <w:tcW w:type="dxa" w:w="3000"/>
            <w:vAlign w:val="center"/>
          </w:tcPr>
          <w:p>
            <w:pPr>
              <w:spacing w:after="0" w:before="0" w:line="240" w:lineRule="auto"/>
            </w:pPr>
            <w:r>
              <w:rPr>
                <w:color w:val="000000"/>
                <w:sz w:val="16"/>
                <w:highlight w:val="yellow"/>
              </w:rPr>
              <w:t xml:space="preserve">[1]</w:t>
            </w:r>
          </w:p>
        </w:tc>
      </w:tr>
      <w:tr>
        <w:trPr>
          <w:cantSplit/>
        </w:trPr>
        <w:tc>
          <w:tcPr>
            <w:tcW w:type="dxa" w:w="7224"/>
            <w:vAlign w:val="center"/>
          </w:tcPr>
          <w:p>
            <w:pPr>
              <w:spacing w:after="0" w:before="0" w:line="240" w:lineRule="auto"/>
            </w:pPr>
            <w:r>
              <w:rPr>
                <w:b/>
                <w:color w:val="000000"/>
                <w:sz w:val="16"/>
              </w:rPr>
              <w:t xml:space="preserve">P5 Payroll: complete within (working days)</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P6 Record to report: complete within (working days)</w:t>
            </w:r>
          </w:p>
        </w:tc>
        <w:tc>
          <w:tcPr>
            <w:tcW w:type="dxa" w:w="3000"/>
            <w:vAlign w:val="center"/>
          </w:tcPr>
          <w:p>
            <w:pPr>
              <w:spacing w:after="0" w:before="0" w:line="240" w:lineRule="auto"/>
            </w:pPr>
            <w:r>
              <w:rPr>
                <w:color w:val="000000"/>
                <w:sz w:val="16"/>
                <w:highlight w:val="yellow"/>
              </w:rPr>
              <w:t xml:space="preserve">[2]</w:t>
            </w:r>
          </w:p>
        </w:tc>
      </w:tr>
      <w:tr>
        <w:trPr>
          <w:cantSplit/>
        </w:trPr>
        <w:tc>
          <w:tcPr>
            <w:tcW w:type="dxa" w:w="7224"/>
            <w:vAlign w:val="center"/>
          </w:tcPr>
          <w:p>
            <w:pPr>
              <w:spacing w:after="0" w:before="0" w:line="240" w:lineRule="auto"/>
            </w:pPr>
            <w:r>
              <w:rPr>
                <w:b/>
                <w:color w:val="000000"/>
                <w:sz w:val="16"/>
              </w:rPr>
              <w:t xml:space="preserve">P7 Plan and analyse: complete within (working days)</w:t>
            </w:r>
          </w:p>
        </w:tc>
        <w:tc>
          <w:tcPr>
            <w:tcW w:type="dxa" w:w="3000"/>
            <w:vAlign w:val="center"/>
          </w:tcPr>
          <w:p>
            <w:pPr>
              <w:spacing w:after="0" w:before="0" w:line="240" w:lineRule="auto"/>
            </w:pPr>
            <w:r>
              <w:rPr>
                <w:color w:val="000000"/>
                <w:sz w:val="16"/>
                <w:highlight w:val="yellow"/>
              </w:rPr>
              <w:t xml:space="preserve">[3]</w:t>
            </w:r>
          </w:p>
        </w:tc>
      </w:tr>
      <w:tr>
        <w:trPr>
          <w:cantSplit/>
        </w:trPr>
        <w:tc>
          <w:tcPr>
            <w:tcW w:type="dxa" w:w="7224"/>
            <w:vAlign w:val="center"/>
          </w:tcPr>
          <w:p>
            <w:pPr>
              <w:spacing w:after="0" w:before="0" w:line="240" w:lineRule="auto"/>
            </w:pPr>
            <w:r>
              <w:rPr>
                <w:b/>
                <w:color w:val="000000"/>
                <w:sz w:val="16"/>
              </w:rPr>
              <w:t xml:space="preserve">P8 Tax: complete within (working days)</w:t>
            </w:r>
          </w:p>
        </w:tc>
        <w:tc>
          <w:tcPr>
            <w:tcW w:type="dxa" w:w="3000"/>
            <w:vAlign w:val="center"/>
          </w:tcPr>
          <w:p>
            <w:pPr>
              <w:spacing w:after="0" w:before="0" w:line="240" w:lineRule="auto"/>
            </w:pPr>
            <w:r>
              <w:rPr>
                <w:color w:val="000000"/>
                <w:sz w:val="16"/>
                <w:highlight w:val="yellow"/>
              </w:rPr>
              <w:t xml:space="preserve">[5]</w:t>
            </w:r>
          </w:p>
        </w:tc>
      </w:tr>
      <w:tr>
        <w:trPr>
          <w:cantSplit/>
        </w:trPr>
        <w:tc>
          <w:tcPr>
            <w:tcW w:type="dxa" w:w="7224"/>
            <w:vAlign w:val="center"/>
          </w:tcPr>
          <w:p>
            <w:pPr>
              <w:spacing w:after="0" w:before="0" w:line="240" w:lineRule="auto"/>
            </w:pPr>
            <w:r>
              <w:rPr>
                <w:b/>
                <w:color w:val="000000"/>
                <w:sz w:val="16"/>
              </w:rPr>
              <w:t xml:space="preserve">P9 Year-end and audit: complete within (working days)</w:t>
            </w:r>
          </w:p>
        </w:tc>
        <w:tc>
          <w:tcPr>
            <w:tcW w:type="dxa" w:w="3000"/>
            <w:vAlign w:val="center"/>
          </w:tcPr>
          <w:p>
            <w:pPr>
              <w:spacing w:after="0" w:before="0" w:line="240" w:lineRule="auto"/>
            </w:pPr>
            <w:r>
              <w:rPr>
                <w:color w:val="000000"/>
                <w:sz w:val="16"/>
                <w:highlight w:val="yellow"/>
              </w:rPr>
              <w:t xml:space="preserve">[5]</w:t>
            </w:r>
          </w:p>
        </w:tc>
      </w:tr>
    </w:tbl>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624"/>
        <w:gridCol w:w="2200"/>
        <w:gridCol w:w="2200"/>
        <w:gridCol w:w="2200"/>
      </w:tblGrid>
      <w:tr>
        <w:trPr>
          <w:tblHeader/>
        </w:trPr>
        <w:tc>
          <w:tcPr>
            <w:tcW w:type="dxa" w:w="3624"/>
            <w:shd w:val="clear" w:color="auto" w:fill="DCE6F1"/>
            <w:vAlign w:val="center"/>
          </w:tcPr>
          <w:p>
            <w:pPr>
              <w:spacing w:after="0" w:before="0" w:line="240" w:lineRule="auto"/>
            </w:pPr>
            <w:r>
              <w:rPr>
                <w:b/>
                <w:color w:val="000000"/>
                <w:sz w:val="16"/>
              </w:rPr>
              <w:t xml:space="preserve">System</w:t>
            </w:r>
          </w:p>
        </w:tc>
        <w:tc>
          <w:tcPr>
            <w:tcW w:type="dxa" w:w="2200"/>
            <w:shd w:val="clear" w:color="auto" w:fill="DCE6F1"/>
            <w:vAlign w:val="center"/>
          </w:tcPr>
          <w:p>
            <w:pPr>
              <w:spacing w:after="0" w:before="0" w:line="240" w:lineRule="auto"/>
            </w:pPr>
            <w:r>
              <w:rPr>
                <w:b/>
                <w:color w:val="000000"/>
                <w:sz w:val="16"/>
              </w:rPr>
              <w:t xml:space="preserve">Minutes per item</w:t>
            </w:r>
          </w:p>
        </w:tc>
        <w:tc>
          <w:tcPr>
            <w:tcW w:type="dxa" w:w="2200"/>
            <w:shd w:val="clear" w:color="auto" w:fill="DCE6F1"/>
            <w:vAlign w:val="center"/>
          </w:tcPr>
          <w:p>
            <w:pPr>
              <w:spacing w:after="0" w:before="0" w:line="240" w:lineRule="auto"/>
            </w:pPr>
            <w:r>
              <w:rPr>
                <w:b/>
                <w:color w:val="000000"/>
                <w:sz w:val="16"/>
              </w:rPr>
              <w:t xml:space="preserve">Items at once</w:t>
            </w:r>
          </w:p>
        </w:tc>
        <w:tc>
          <w:tcPr>
            <w:tcW w:type="dxa" w:w="2200"/>
            <w:shd w:val="clear" w:color="auto" w:fill="DCE6F1"/>
            <w:vAlign w:val="center"/>
          </w:tcPr>
          <w:p>
            <w:pPr>
              <w:spacing w:after="0" w:before="0" w:line="240" w:lineRule="auto"/>
            </w:pPr>
            <w:r>
              <w:rPr>
                <w:b/>
                <w:color w:val="000000"/>
                <w:sz w:val="16"/>
              </w:rPr>
              <w:t xml:space="preserve">Unavailable (% of days)</w:t>
            </w:r>
          </w:p>
        </w:tc>
      </w:tr>
      <w:tr>
        <w:trPr>
          <w:cantSplit/>
        </w:trPr>
        <w:tc>
          <w:tcPr>
            <w:tcW w:type="dxa" w:w="3624"/>
            <w:vAlign w:val="center"/>
          </w:tcPr>
          <w:p>
            <w:pPr>
              <w:spacing w:after="0" w:before="0" w:line="240" w:lineRule="auto"/>
            </w:pPr>
            <w:r>
              <w:rPr>
                <w:b/>
                <w:color w:val="000000"/>
                <w:sz w:val="16"/>
              </w:rPr>
              <w:t xml:space="preserve">Commercial systems</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[20]</w:t>
            </w:r>
          </w:p>
        </w:tc>
        <w:tc>
          <w:tcPr>
            <w:tcW w:type="dxa" w:w="2200"/>
            <w:vAlign w:val="center"/>
          </w:tcPr>
          <w:p>
            <w:pPr>
              <w:spacing w:after="0" w:before="0" w:line="240" w:lineRule="auto"/>
            </w:pPr>
            <w:r>
              <w:rPr>
                <w:color w:val="000000"/>
                <w:sz w:val="16"/>
                <w:highlight w:val="yellow"/>
              </w:rPr>
              <w:t xml:space="preserve">[0.5]</w:t>
            </w:r>
          </w:p>
        </w:tc>
      </w:tr>
      <w:tr>
        <w:trPr>
          <w:cantSplit/>
        </w:trPr>
        <w:tc>
          <w:tcPr>
            <w:tcW w:type="dxa" w:w="3624"/>
            <w:vAlign w:val="center"/>
          </w:tcPr>
          <w:p>
            <w:pPr>
              <w:spacing w:after="0" w:before="0" w:line="240" w:lineRule="auto"/>
            </w:pPr>
            <w:r>
              <w:rPr>
                <w:b/>
                <w:color w:val="000000"/>
                <w:sz w:val="16"/>
              </w:rPr>
              <w:t xml:space="preserve">Cloud ERP</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[20]</w:t>
            </w:r>
          </w:p>
        </w:tc>
        <w:tc>
          <w:tcPr>
            <w:tcW w:type="dxa" w:w="2200"/>
            <w:vAlign w:val="center"/>
          </w:tcPr>
          <w:p>
            <w:pPr>
              <w:spacing w:after="0" w:before="0" w:line="240" w:lineRule="auto"/>
            </w:pPr>
            <w:r>
              <w:rPr>
                <w:color w:val="000000"/>
                <w:sz w:val="16"/>
                <w:highlight w:val="yellow"/>
              </w:rPr>
              <w:t xml:space="preserve">[0.5]</w:t>
            </w:r>
          </w:p>
        </w:tc>
      </w:tr>
      <w:tr>
        <w:trPr>
          <w:cantSplit/>
        </w:trPr>
        <w:tc>
          <w:tcPr>
            <w:tcW w:type="dxa" w:w="3624"/>
            <w:vAlign w:val="center"/>
          </w:tcPr>
          <w:p>
            <w:pPr>
              <w:spacing w:after="0" w:before="0" w:line="240" w:lineRule="auto"/>
            </w:pPr>
            <w:r>
              <w:rPr>
                <w:b/>
                <w:color w:val="000000"/>
                <w:sz w:val="16"/>
              </w:rPr>
              <w:t xml:space="preserve">Excel models</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[5]</w:t>
            </w:r>
          </w:p>
        </w:tc>
        <w:tc>
          <w:tcPr>
            <w:tcW w:type="dxa" w:w="2200"/>
            <w:vAlign w:val="center"/>
          </w:tcPr>
          <w:p>
            <w:pPr>
              <w:spacing w:after="0" w:before="0" w:line="240" w:lineRule="auto"/>
            </w:pPr>
            <w:r>
              <w:rPr>
                <w:color w:val="000000"/>
                <w:sz w:val="16"/>
                <w:highlight w:val="yellow"/>
              </w:rPr>
              <w:t xml:space="preserve">[0]</w:t>
            </w:r>
          </w:p>
        </w:tc>
      </w:tr>
      <w:tr>
        <w:trPr>
          <w:cantSplit/>
        </w:trPr>
        <w:tc>
          <w:tcPr>
            <w:tcW w:type="dxa" w:w="3624"/>
            <w:vAlign w:val="center"/>
          </w:tcPr>
          <w:p>
            <w:pPr>
              <w:spacing w:after="0" w:before="0" w:line="240" w:lineRule="auto"/>
            </w:pPr>
            <w:r>
              <w:rPr>
                <w:b/>
                <w:color w:val="000000"/>
                <w:sz w:val="16"/>
              </w:rPr>
              <w:t xml:space="preserve">Power BI</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[2]</w:t>
            </w:r>
          </w:p>
        </w:tc>
        <w:tc>
          <w:tcPr>
            <w:tcW w:type="dxa" w:w="2200"/>
            <w:vAlign w:val="center"/>
          </w:tcPr>
          <w:p>
            <w:pPr>
              <w:spacing w:after="0" w:before="0" w:line="240" w:lineRule="auto"/>
            </w:pPr>
            <w:r>
              <w:rPr>
                <w:color w:val="000000"/>
                <w:sz w:val="16"/>
                <w:highlight w:val="yellow"/>
              </w:rPr>
              <w:t xml:space="preserve">[1]</w:t>
            </w:r>
          </w:p>
        </w:tc>
      </w:tr>
      <w:tr>
        <w:trPr>
          <w:cantSplit/>
        </w:trPr>
        <w:tc>
          <w:tcPr>
            <w:tcW w:type="dxa" w:w="3624"/>
            <w:vAlign w:val="center"/>
          </w:tcPr>
          <w:p>
            <w:pPr>
              <w:spacing w:after="0" w:before="0" w:line="240" w:lineRule="auto"/>
            </w:pPr>
            <w:r>
              <w:rPr>
                <w:b/>
                <w:color w:val="000000"/>
                <w:sz w:val="16"/>
              </w:rPr>
              <w:t xml:space="preserve">SharePoint</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[20]</w:t>
            </w:r>
          </w:p>
        </w:tc>
        <w:tc>
          <w:tcPr>
            <w:tcW w:type="dxa" w:w="2200"/>
            <w:vAlign w:val="center"/>
          </w:tcPr>
          <w:p>
            <w:pPr>
              <w:spacing w:after="0" w:before="0" w:line="240" w:lineRule="auto"/>
            </w:pPr>
            <w:r>
              <w:rPr>
                <w:color w:val="000000"/>
                <w:sz w:val="16"/>
                <w:highlight w:val="yellow"/>
              </w:rPr>
              <w:t xml:space="preserve">[0.5]</w:t>
            </w:r>
          </w:p>
        </w:tc>
      </w:tr>
      <w:tr>
        <w:trPr>
          <w:cantSplit/>
        </w:trPr>
        <w:tc>
          <w:tcPr>
            <w:tcW w:type="dxa" w:w="3624"/>
            <w:vAlign w:val="center"/>
          </w:tcPr>
          <w:p>
            <w:pPr>
              <w:spacing w:after="0" w:before="0" w:line="240" w:lineRule="auto"/>
            </w:pPr>
            <w:r>
              <w:rPr>
                <w:b/>
                <w:color w:val="000000"/>
                <w:sz w:val="16"/>
              </w:rPr>
              <w:t xml:space="preserve">System rules</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[50]</w:t>
            </w:r>
          </w:p>
        </w:tc>
        <w:tc>
          <w:tcPr>
            <w:tcW w:type="dxa" w:w="2200"/>
            <w:vAlign w:val="center"/>
          </w:tcPr>
          <w:p>
            <w:pPr>
              <w:spacing w:after="0" w:before="0" w:line="240" w:lineRule="auto"/>
            </w:pPr>
            <w:r>
              <w:rPr>
                <w:color w:val="000000"/>
                <w:sz w:val="16"/>
                <w:highlight w:val="yellow"/>
              </w:rPr>
              <w:t xml:space="preserve">[0.5]</w:t>
            </w:r>
          </w:p>
        </w:tc>
      </w:tr>
      <w:tr>
        <w:trPr>
          <w:cantSplit/>
        </w:trPr>
        <w:tc>
          <w:tcPr>
            <w:tcW w:type="dxa" w:w="3624"/>
            <w:vAlign w:val="center"/>
          </w:tcPr>
          <w:p>
            <w:pPr>
              <w:spacing w:after="0" w:before="0" w:line="240" w:lineRule="auto"/>
            </w:pPr>
            <w:r>
              <w:rPr>
                <w:b/>
                <w:color w:val="000000"/>
                <w:sz w:val="16"/>
              </w:rPr>
              <w:t xml:space="preserve">Email and checklist (today)</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[50]</w:t>
            </w:r>
          </w:p>
        </w:tc>
        <w:tc>
          <w:tcPr>
            <w:tcW w:type="dxa" w:w="2200"/>
            <w:vAlign w:val="center"/>
          </w:tcPr>
          <w:p>
            <w:pPr>
              <w:spacing w:after="0" w:before="0" w:line="240" w:lineRule="auto"/>
            </w:pPr>
            <w:r>
              <w:rPr>
                <w:color w:val="000000"/>
                <w:sz w:val="16"/>
                <w:highlight w:val="yellow"/>
              </w:rPr>
              <w:t xml:space="preserve">[0]</w:t>
            </w:r>
          </w:p>
        </w:tc>
      </w:tr>
      <w:tr>
        <w:trPr>
          <w:cantSplit/>
        </w:trPr>
        <w:tc>
          <w:tcPr>
            <w:tcW w:type="dxa" w:w="3624"/>
            <w:vAlign w:val="center"/>
          </w:tcPr>
          <w:p>
            <w:pPr>
              <w:spacing w:after="0" w:before="0" w:line="240" w:lineRule="auto"/>
            </w:pPr>
            <w:r>
              <w:rPr>
                <w:b/>
                <w:color w:val="000000"/>
                <w:sz w:val="16"/>
              </w:rPr>
              <w:t xml:space="preserve">Workflow engine</w:t>
            </w:r>
          </w:p>
        </w:tc>
        <w:tc>
          <w:tcPr>
            <w:tcW w:type="dxa" w:w="2200"/>
            <w:vAlign w:val="center"/>
          </w:tcPr>
          <w:p>
            <w:pPr>
              <w:spacing w:after="0" w:before="0" w:line="240" w:lineRule="auto"/>
            </w:pPr>
            <w:r>
              <w:rPr>
                <w:color w:val="000000"/>
                <w:sz w:val="16"/>
                <w:highlight w:val="yellow"/>
              </w:rPr>
              <w:t xml:space="preserve">[0]</w:t>
            </w:r>
          </w:p>
        </w:tc>
        <w:tc>
          <w:tcPr>
            <w:tcW w:type="dxa" w:w="2200"/>
            <w:vAlign w:val="center"/>
          </w:tcPr>
          <w:p>
            <w:pPr>
              <w:spacing w:after="0" w:before="0" w:line="240" w:lineRule="auto"/>
            </w:pPr>
            <w:r>
              <w:rPr>
                <w:color w:val="000000"/>
                <w:sz w:val="16"/>
                <w:highlight w:val="yellow"/>
              </w:rPr>
              <w:t xml:space="preserve">[50]</w:t>
            </w:r>
          </w:p>
        </w:tc>
        <w:tc>
          <w:tcPr>
            <w:tcW w:type="dxa" w:w="2200"/>
            <w:vAlign w:val="center"/>
          </w:tcPr>
          <w:p>
            <w:pPr>
              <w:spacing w:after="0" w:before="0" w:line="240" w:lineRule="auto"/>
            </w:pPr>
            <w:r>
              <w:rPr>
                <w:color w:val="000000"/>
                <w:sz w:val="16"/>
                <w:highlight w:val="yellow"/>
              </w:rPr>
              <w:t xml:space="preserve">[0.5]</w:t>
            </w:r>
          </w:p>
        </w:tc>
      </w:tr>
      <w:tr>
        <w:trPr>
          <w:cantSplit/>
        </w:trPr>
        <w:tc>
          <w:tcPr>
            <w:tcW w:type="dxa" w:w="3624"/>
            <w:vAlign w:val="center"/>
          </w:tcPr>
          <w:p>
            <w:pPr>
              <w:spacing w:after="0" w:before="0" w:line="240" w:lineRule="auto"/>
            </w:pPr>
            <w:r>
              <w:rPr>
                <w:b/>
                <w:color w:val="000000"/>
                <w:sz w:val="16"/>
              </w:rPr>
              <w:t xml:space="preserve">Data checks</w:t>
            </w:r>
          </w:p>
        </w:tc>
        <w:tc>
          <w:tcPr>
            <w:tcW w:type="dxa" w:w="2200"/>
            <w:vAlign w:val="center"/>
          </w:tcPr>
          <w:p>
            <w:pPr>
              <w:spacing w:after="0" w:before="0" w:line="240" w:lineRule="auto"/>
            </w:pPr>
            <w:r>
              <w:rPr>
                <w:color w:val="000000"/>
                <w:sz w:val="16"/>
                <w:highlight w:val="yellow"/>
              </w:rPr>
              <w:t xml:space="preserve">[0.2]</w:t>
            </w:r>
          </w:p>
        </w:tc>
        <w:tc>
          <w:tcPr>
            <w:tcW w:type="dxa" w:w="2200"/>
            <w:vAlign w:val="center"/>
          </w:tcPr>
          <w:p>
            <w:pPr>
              <w:spacing w:after="0" w:before="0" w:line="240" w:lineRule="auto"/>
            </w:pPr>
            <w:r>
              <w:rPr>
                <w:color w:val="000000"/>
                <w:sz w:val="16"/>
                <w:highlight w:val="yellow"/>
              </w:rPr>
              <w:t xml:space="preserve">[20]</w:t>
            </w:r>
          </w:p>
        </w:tc>
        <w:tc>
          <w:tcPr>
            <w:tcW w:type="dxa" w:w="2200"/>
            <w:vAlign w:val="center"/>
          </w:tcPr>
          <w:p>
            <w:pPr>
              <w:spacing w:after="0" w:before="0" w:line="240" w:lineRule="auto"/>
            </w:pPr>
            <w:r>
              <w:rPr>
                <w:color w:val="000000"/>
                <w:sz w:val="16"/>
                <w:highlight w:val="yellow"/>
              </w:rPr>
              <w:t xml:space="preserve">[0.5]</w:t>
            </w:r>
          </w:p>
        </w:tc>
      </w:tr>
    </w:tbl>
    <w:p>
      <w:pPr>
        <w:pStyle w:val="Heading2"/>
      </w:pPr>
      <w:r>
        <w:t xml:space="preserve">Ranges for the inputs we are unsure of</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6224"/>
        <w:gridCol w:w="2000"/>
        <w:gridCol w:w="2000"/>
      </w:tblGrid>
      <w:tr>
        <w:trPr>
          <w:tblHeader/>
        </w:trPr>
        <w:tc>
          <w:tcPr>
            <w:tcW w:type="dxa" w:w="6224"/>
            <w:shd w:val="clear" w:color="auto" w:fill="DCE6F1"/>
            <w:vAlign w:val="center"/>
          </w:tcPr>
          <w:p>
            <w:pPr>
              <w:spacing w:after="0" w:before="0" w:line="240" w:lineRule="auto"/>
            </w:pPr>
            <w:r>
              <w:rPr>
                <w:b/>
                <w:color w:val="000000"/>
                <w:sz w:val="16"/>
              </w:rPr>
              <w:t xml:space="preserve">Input</w:t>
            </w:r>
          </w:p>
        </w:tc>
        <w:tc>
          <w:tcPr>
            <w:tcW w:type="dxa" w:w="2000"/>
            <w:shd w:val="clear" w:color="auto" w:fill="DCE6F1"/>
            <w:vAlign w:val="center"/>
          </w:tcPr>
          <w:p>
            <w:pPr>
              <w:spacing w:after="0" w:before="0" w:line="240" w:lineRule="auto"/>
            </w:pPr>
            <w:r>
              <w:rPr>
                <w:b/>
                <w:color w:val="000000"/>
                <w:sz w:val="16"/>
              </w:rPr>
              <w:t xml:space="preserve">Low</w:t>
            </w:r>
          </w:p>
        </w:tc>
        <w:tc>
          <w:tcPr>
            <w:tcW w:type="dxa" w:w="2000"/>
            <w:shd w:val="clear" w:color="auto" w:fill="DCE6F1"/>
            <w:vAlign w:val="center"/>
          </w:tcPr>
          <w:p>
            <w:pPr>
              <w:spacing w:after="0" w:before="0" w:line="240" w:lineRule="auto"/>
            </w:pPr>
            <w:r>
              <w:rPr>
                <w:b/>
                <w:color w:val="000000"/>
                <w:sz w:val="16"/>
              </w:rPr>
              <w:t xml:space="preserve">High</w:t>
            </w:r>
          </w:p>
        </w:tc>
      </w:tr>
      <w:tr>
        <w:trPr>
          <w:cantSplit/>
        </w:trPr>
        <w:tc>
          <w:tcPr>
            <w:tcW w:type="dxa" w:w="6224"/>
            <w:vAlign w:val="center"/>
          </w:tcPr>
          <w:p>
            <w:pPr>
              <w:spacing w:after="0" w:before="0" w:line="240" w:lineRule="auto"/>
            </w:pPr>
            <w:r>
              <w:rPr>
                <w:b/>
                <w:color w:val="000000"/>
                <w:sz w:val="16"/>
              </w:rPr>
              <w:t xml:space="preserve">Task minutes today (multiplier)</w:t>
            </w:r>
          </w:p>
        </w:tc>
        <w:tc>
          <w:tcPr>
            <w:tcW w:type="dxa" w:w="2000"/>
            <w:vAlign w:val="center"/>
          </w:tcPr>
          <w:p>
            <w:pPr>
              <w:spacing w:after="0" w:before="0" w:line="240" w:lineRule="auto"/>
            </w:pPr>
            <w:r>
              <w:rPr>
                <w:color w:val="000000"/>
                <w:sz w:val="16"/>
                <w:highlight w:val="yellow"/>
              </w:rPr>
              <w:t xml:space="preserve">[0.8]</w:t>
            </w:r>
          </w:p>
        </w:tc>
        <w:tc>
          <w:tcPr>
            <w:tcW w:type="dxa" w:w="2000"/>
            <w:vAlign w:val="center"/>
          </w:tcPr>
          <w:p>
            <w:pPr>
              <w:spacing w:after="0" w:before="0" w:line="240" w:lineRule="auto"/>
            </w:pPr>
            <w:r>
              <w:rPr>
                <w:color w:val="000000"/>
                <w:sz w:val="16"/>
                <w:highlight w:val="yellow"/>
              </w:rPr>
              <w:t xml:space="preserve">[1.2]</w:t>
            </w:r>
          </w:p>
        </w:tc>
      </w:tr>
      <w:tr>
        <w:trPr>
          <w:cantSplit/>
        </w:trPr>
        <w:tc>
          <w:tcPr>
            <w:tcW w:type="dxa" w:w="6224"/>
            <w:vAlign w:val="center"/>
          </w:tcPr>
          <w:p>
            <w:pPr>
              <w:spacing w:after="0" w:before="0" w:line="240" w:lineRule="auto"/>
            </w:pPr>
            <w:r>
              <w:rPr>
                <w:b/>
                <w:color w:val="000000"/>
                <w:sz w:val="16"/>
              </w:rPr>
              <w:t xml:space="preserve">Task minutes with agents (multiplier)</w:t>
            </w:r>
          </w:p>
        </w:tc>
        <w:tc>
          <w:tcPr>
            <w:tcW w:type="dxa" w:w="2000"/>
            <w:vAlign w:val="center"/>
          </w:tcPr>
          <w:p>
            <w:pPr>
              <w:spacing w:after="0" w:before="0" w:line="240" w:lineRule="auto"/>
            </w:pPr>
            <w:r>
              <w:rPr>
                <w:color w:val="000000"/>
                <w:sz w:val="16"/>
                <w:highlight w:val="yellow"/>
              </w:rPr>
              <w:t xml:space="preserve">[0.7]</w:t>
            </w:r>
          </w:p>
        </w:tc>
        <w:tc>
          <w:tcPr>
            <w:tcW w:type="dxa" w:w="2000"/>
            <w:vAlign w:val="center"/>
          </w:tcPr>
          <w:p>
            <w:pPr>
              <w:spacing w:after="0" w:before="0" w:line="240" w:lineRule="auto"/>
            </w:pPr>
            <w:r>
              <w:rPr>
                <w:color w:val="000000"/>
                <w:sz w:val="16"/>
                <w:highlight w:val="yellow"/>
              </w:rPr>
              <w:t xml:space="preserve">[1.5]</w:t>
            </w:r>
          </w:p>
        </w:tc>
      </w:tr>
      <w:tr>
        <w:trPr>
          <w:cantSplit/>
        </w:trPr>
        <w:tc>
          <w:tcPr>
            <w:tcW w:type="dxa" w:w="6224"/>
            <w:vAlign w:val="center"/>
          </w:tcPr>
          <w:p>
            <w:pPr>
              <w:spacing w:after="0" w:before="0" w:line="240" w:lineRule="auto"/>
            </w:pPr>
            <w:r>
              <w:rPr>
                <w:b/>
                <w:color w:val="000000"/>
                <w:sz w:val="16"/>
              </w:rPr>
              <w:t xml:space="preserve">Agent proposals accepted on review (%)</w:t>
            </w:r>
          </w:p>
        </w:tc>
        <w:tc>
          <w:tcPr>
            <w:tcW w:type="dxa" w:w="2000"/>
            <w:vAlign w:val="center"/>
          </w:tcPr>
          <w:p>
            <w:pPr>
              <w:spacing w:after="0" w:before="0" w:line="240" w:lineRule="auto"/>
            </w:pPr>
            <w:r>
              <w:rPr>
                <w:color w:val="000000"/>
                <w:sz w:val="16"/>
                <w:highlight w:val="yellow"/>
              </w:rPr>
              <w:t xml:space="preserve">[60]</w:t>
            </w:r>
          </w:p>
        </w:tc>
        <w:tc>
          <w:tcPr>
            <w:tcW w:type="dxa" w:w="2000"/>
            <w:vAlign w:val="center"/>
          </w:tcPr>
          <w:p>
            <w:pPr>
              <w:spacing w:after="0" w:before="0" w:line="240" w:lineRule="auto"/>
            </w:pPr>
            <w:r>
              <w:rPr>
                <w:color w:val="000000"/>
                <w:sz w:val="16"/>
                <w:highlight w:val="yellow"/>
              </w:rPr>
              <w:t xml:space="preserve">[90]</w:t>
            </w:r>
          </w:p>
        </w:tc>
      </w:tr>
      <w:tr>
        <w:trPr>
          <w:cantSplit/>
        </w:trPr>
        <w:tc>
          <w:tcPr>
            <w:tcW w:type="dxa" w:w="6224"/>
            <w:vAlign w:val="center"/>
          </w:tcPr>
          <w:p>
            <w:pPr>
              <w:spacing w:after="0" w:before="0" w:line="240" w:lineRule="auto"/>
            </w:pPr>
            <w:r>
              <w:rPr>
                <w:b/>
                <w:color w:val="000000"/>
                <w:sz w:val="16"/>
              </w:rPr>
              <w:t xml:space="preserve">Other work for every role (change in points)</w:t>
            </w:r>
          </w:p>
        </w:tc>
        <w:tc>
          <w:tcPr>
            <w:tcW w:type="dxa" w:w="2000"/>
            <w:vAlign w:val="center"/>
          </w:tcPr>
          <w:p>
            <w:pPr>
              <w:spacing w:after="0" w:before="0" w:line="240" w:lineRule="auto"/>
            </w:pPr>
            <w:r>
              <w:rPr>
                <w:color w:val="000000"/>
                <w:sz w:val="16"/>
                <w:highlight w:val="yellow"/>
              </w:rPr>
              <w:t xml:space="preserve">[-10]</w:t>
            </w:r>
          </w:p>
        </w:tc>
        <w:tc>
          <w:tcPr>
            <w:tcW w:type="dxa" w:w="2000"/>
            <w:vAlign w:val="center"/>
          </w:tcPr>
          <w:p>
            <w:pPr>
              <w:spacing w:after="0" w:before="0" w:line="240" w:lineRule="auto"/>
            </w:pPr>
            <w:r>
              <w:rPr>
                <w:color w:val="000000"/>
                <w:sz w:val="16"/>
                <w:highlight w:val="yellow"/>
              </w:rPr>
              <w:t xml:space="preserve">[10]</w:t>
            </w:r>
          </w:p>
        </w:tc>
      </w:tr>
      <w:tr>
        <w:trPr>
          <w:cantSplit/>
        </w:trPr>
        <w:tc>
          <w:tcPr>
            <w:tcW w:type="dxa" w:w="6224"/>
            <w:vAlign w:val="center"/>
          </w:tcPr>
          <w:p>
            <w:pPr>
              <w:spacing w:after="0" w:before="0" w:line="240" w:lineRule="auto"/>
            </w:pPr>
            <w:r>
              <w:rPr>
                <w:b/>
                <w:color w:val="000000"/>
                <w:sz w:val="16"/>
              </w:rPr>
              <w:t xml:space="preserve">Monthly volumes (multiplier)</w:t>
            </w:r>
          </w:p>
        </w:tc>
        <w:tc>
          <w:tcPr>
            <w:tcW w:type="dxa" w:w="2000"/>
            <w:vAlign w:val="center"/>
          </w:tcPr>
          <w:p>
            <w:pPr>
              <w:spacing w:after="0" w:before="0" w:line="240" w:lineRule="auto"/>
            </w:pPr>
            <w:r>
              <w:rPr>
                <w:color w:val="000000"/>
                <w:sz w:val="16"/>
                <w:highlight w:val="yellow"/>
              </w:rPr>
              <w:t xml:space="preserve">[0.9]</w:t>
            </w:r>
          </w:p>
        </w:tc>
        <w:tc>
          <w:tcPr>
            <w:tcW w:type="dxa" w:w="2000"/>
            <w:vAlign w:val="center"/>
          </w:tcPr>
          <w:p>
            <w:pPr>
              <w:spacing w:after="0" w:before="0" w:line="240" w:lineRule="auto"/>
            </w:pPr>
            <w:r>
              <w:rPr>
                <w:color w:val="000000"/>
                <w:sz w:val="16"/>
                <w:highlight w:val="yellow"/>
              </w:rPr>
              <w:t xml:space="preserve">[1.1]</w:t>
            </w:r>
          </w:p>
        </w:tc>
      </w:tr>
      <w:tr>
        <w:trPr>
          <w:cantSplit/>
        </w:trPr>
        <w:tc>
          <w:tcPr>
            <w:tcW w:type="dxa" w:w="6224"/>
            <w:vAlign w:val="center"/>
          </w:tcPr>
          <w:p>
            <w:pPr>
              <w:spacing w:after="0" w:before="0" w:line="240" w:lineRule="auto"/>
            </w:pPr>
            <w:r>
              <w:rPr>
                <w:b/>
                <w:color w:val="000000"/>
                <w:sz w:val="16"/>
              </w:rPr>
              <w:t xml:space="preserve">Business manager reply time (multiplier)</w:t>
            </w:r>
          </w:p>
        </w:tc>
        <w:tc>
          <w:tcPr>
            <w:tcW w:type="dxa" w:w="2000"/>
            <w:vAlign w:val="center"/>
          </w:tcPr>
          <w:p>
            <w:pPr>
              <w:spacing w:after="0" w:before="0" w:line="240" w:lineRule="auto"/>
            </w:pPr>
            <w:r>
              <w:rPr>
                <w:color w:val="000000"/>
                <w:sz w:val="16"/>
                <w:highlight w:val="yellow"/>
              </w:rPr>
              <w:t xml:space="preserve">[0.5]</w:t>
            </w:r>
          </w:p>
        </w:tc>
        <w:tc>
          <w:tcPr>
            <w:tcW w:type="dxa" w:w="2000"/>
            <w:vAlign w:val="center"/>
          </w:tcPr>
          <w:p>
            <w:pPr>
              <w:spacing w:after="0" w:before="0" w:line="240" w:lineRule="auto"/>
            </w:pPr>
            <w:r>
              <w:rPr>
                <w:color w:val="000000"/>
                <w:sz w:val="16"/>
                <w:highlight w:val="yellow"/>
              </w:rPr>
              <w:t xml:space="preserve">[2]</w:t>
            </w:r>
          </w:p>
        </w:tc>
      </w:tr>
      <w:tr>
        <w:trPr>
          <w:cantSplit/>
        </w:trPr>
        <w:tc>
          <w:tcPr>
            <w:tcW w:type="dxa" w:w="6224"/>
            <w:vAlign w:val="center"/>
          </w:tcPr>
          <w:p>
            <w:pPr>
              <w:spacing w:after="0" w:before="0" w:line="240" w:lineRule="auto"/>
            </w:pPr>
            <w:r>
              <w:rPr>
                <w:b/>
                <w:color w:val="000000"/>
                <w:sz w:val="16"/>
              </w:rPr>
              <w:t xml:space="preserve">Agent processing time per item (multiplier)</w:t>
            </w:r>
          </w:p>
        </w:tc>
        <w:tc>
          <w:tcPr>
            <w:tcW w:type="dxa" w:w="2000"/>
            <w:vAlign w:val="center"/>
          </w:tcPr>
          <w:p>
            <w:pPr>
              <w:spacing w:after="0" w:before="0" w:line="240" w:lineRule="auto"/>
            </w:pPr>
            <w:r>
              <w:rPr>
                <w:color w:val="000000"/>
                <w:sz w:val="16"/>
                <w:highlight w:val="yellow"/>
              </w:rPr>
              <w:t xml:space="preserve">[0.5]</w:t>
            </w:r>
          </w:p>
        </w:tc>
        <w:tc>
          <w:tcPr>
            <w:tcW w:type="dxa" w:w="2000"/>
            <w:vAlign w:val="center"/>
          </w:tcPr>
          <w:p>
            <w:pPr>
              <w:spacing w:after="0" w:before="0" w:line="240" w:lineRule="auto"/>
            </w:pPr>
            <w:r>
              <w:rPr>
                <w:color w:val="000000"/>
                <w:sz w:val="16"/>
                <w:highlight w:val="yellow"/>
              </w:rPr>
              <w:t xml:space="preserve">[2]</w:t>
            </w:r>
          </w:p>
        </w:tc>
      </w:tr>
      <w:tr>
        <w:trPr>
          <w:cantSplit/>
        </w:trPr>
        <w:tc>
          <w:tcPr>
            <w:tcW w:type="dxa" w:w="6224"/>
            <w:vAlign w:val="center"/>
          </w:tcPr>
          <w:p>
            <w:pPr>
              <w:spacing w:after="0" w:before="0" w:line="240" w:lineRule="auto"/>
            </w:pPr>
            <w:r>
              <w:rPr>
                <w:b/>
                <w:color w:val="000000"/>
                <w:sz w:val="16"/>
              </w:rPr>
              <w:t xml:space="preserve">Share of other work kept during peaks (%)</w:t>
            </w:r>
          </w:p>
        </w:tc>
        <w:tc>
          <w:tcPr>
            <w:tcW w:type="dxa" w:w="2000"/>
            <w:vAlign w:val="center"/>
          </w:tcPr>
          <w:p>
            <w:pPr>
              <w:spacing w:after="0" w:before="0" w:line="240" w:lineRule="auto"/>
            </w:pPr>
            <w:r>
              <w:rPr>
                <w:color w:val="000000"/>
                <w:sz w:val="16"/>
                <w:highlight w:val="yellow"/>
              </w:rPr>
              <w:t xml:space="preserve">[0]</w:t>
            </w:r>
          </w:p>
        </w:tc>
        <w:tc>
          <w:tcPr>
            <w:tcW w:type="dxa" w:w="2000"/>
            <w:vAlign w:val="center"/>
          </w:tcPr>
          <w:p>
            <w:pPr>
              <w:spacing w:after="0" w:before="0" w:line="240" w:lineRule="auto"/>
            </w:pPr>
            <w:r>
              <w:rPr>
                <w:color w:val="000000"/>
                <w:sz w:val="16"/>
                <w:highlight w:val="yellow"/>
              </w:rPr>
              <w:t xml:space="preserve">[25]</w:t>
            </w:r>
          </w:p>
        </w:tc>
      </w:tr>
      <w:tr>
        <w:trPr>
          <w:cantSplit/>
        </w:trPr>
        <w:tc>
          <w:tcPr>
            <w:tcW w:type="dxa" w:w="6224"/>
            <w:vAlign w:val="center"/>
          </w:tcPr>
          <w:p>
            <w:pPr>
              <w:spacing w:after="0" w:before="0" w:line="240" w:lineRule="auto"/>
            </w:pPr>
            <w:r>
              <w:rPr>
                <w:b/>
                <w:color w:val="000000"/>
                <w:sz w:val="16"/>
              </w:rPr>
              <w:t xml:space="preserve">Invoice exceptions below the review threshold (%)</w:t>
            </w:r>
          </w:p>
        </w:tc>
        <w:tc>
          <w:tcPr>
            <w:tcW w:type="dxa" w:w="2000"/>
            <w:vAlign w:val="center"/>
          </w:tcPr>
          <w:p>
            <w:pPr>
              <w:spacing w:after="0" w:before="0" w:line="240" w:lineRule="auto"/>
            </w:pPr>
            <w:r>
              <w:rPr>
                <w:color w:val="000000"/>
                <w:sz w:val="16"/>
                <w:highlight w:val="yellow"/>
              </w:rPr>
              <w:t xml:space="preserve">[40]</w:t>
            </w:r>
          </w:p>
        </w:tc>
        <w:tc>
          <w:tcPr>
            <w:tcW w:type="dxa" w:w="2000"/>
            <w:vAlign w:val="center"/>
          </w:tcPr>
          <w:p>
            <w:pPr>
              <w:spacing w:after="0" w:before="0" w:line="240" w:lineRule="auto"/>
            </w:pPr>
            <w:r>
              <w:rPr>
                <w:color w:val="000000"/>
                <w:sz w:val="16"/>
                <w:highlight w:val="yellow"/>
              </w:rPr>
              <w:t xml:space="preserve">[80]</w:t>
            </w:r>
          </w:p>
        </w:tc>
      </w:tr>
    </w:tbl>
    <w:p>
      <w:pPr>
        <w:pStyle w:val="Title"/>
        <w:pageBreakBefore/>
      </w:pPr>
      <w:r>
        <w:t>CFO office process guide</w:t>
      </w:r>
    </w:p>
    <w:p>
      <w:pPr>
        <w:pStyle w:val="Heading2"/>
      </w:pPr>
      <w:r>
        <w:t xml:space="preserve">Testing the simulation</w:t>
      </w:r>
    </w:p>
    <w:p>
      <w:r>
        <w:rPr>
          <w:sz w:val="18"/>
        </w:rPr>
        <w:t xml:space="preserve">The built-in model checks are the acceptance gates from the technical audit, the SOP conformity review and the comprehensive audit (66 checks). They test the engine’s rules directly rather than the headline numbers: no resource does more work than it has slots for; delivered plus remaining effort equals required effort; every item is counted in exactly one state; no work starts before its inputs exist; every ledger posting has a cause; hours requested equal the task table; identical results fresh, after another run and in a batch; targets change no event or ledger entry; with no AP staff AP work never starts; with no CFO the pack is reported as not issued; with no finance staff there are no human journals and no invented benefits; both models see the same random month; every item has a unique identifier; the Latin hypercube uses every stratum; month boundaries do not change earlier results; and, from the SOP conformity review, that journals above the threshold are approved before they post, the budget loads only after board approval, feed checks run weekly, larger credit notes go to the Financial Controller, the final trial balance check follows all postings, and every tax and filing deadline is met across the year.</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000"/>
        <w:gridCol w:w="7224"/>
      </w:tblGrid>
      <w:tr>
        <w:trPr>
          <w:tblHeader/>
        </w:trPr>
        <w:tc>
          <w:tcPr>
            <w:tcW w:type="dxa" w:w="3000"/>
            <w:shd w:val="clear" w:color="auto" w:fill="DCE6F1"/>
            <w:vAlign w:val="center"/>
          </w:tcPr>
          <w:p>
            <w:pPr>
              <w:spacing w:after="0" w:before="0" w:line="240" w:lineRule="auto"/>
            </w:pPr>
            <w:r>
              <w:rPr>
                <w:b/>
                <w:color w:val="000000"/>
                <w:sz w:val="17"/>
              </w:rPr>
              <w:t xml:space="preserve">Test</w:t>
            </w:r>
          </w:p>
        </w:tc>
        <w:tc>
          <w:tcPr>
            <w:tcW w:type="dxa" w:w="7224"/>
            <w:shd w:val="clear" w:color="auto" w:fill="DCE6F1"/>
            <w:vAlign w:val="center"/>
          </w:tcPr>
          <w:p>
            <w:pPr>
              <w:spacing w:after="0" w:before="0" w:line="240" w:lineRule="auto"/>
            </w:pPr>
            <w:r>
              <w:rPr>
                <w:b/>
                <w:color w:val="000000"/>
                <w:sz w:val="17"/>
              </w:rPr>
              <w:t xml:space="preserve">What it does</w:t>
            </w:r>
          </w:p>
        </w:tc>
      </w:tr>
      <w:tr>
        <w:trPr>
          <w:cantSplit/>
        </w:trPr>
        <w:tc>
          <w:tcPr>
            <w:tcW w:type="dxa" w:w="3000"/>
            <w:vAlign w:val="center"/>
          </w:tcPr>
          <w:p>
            <w:pPr>
              <w:spacing w:after="0" w:before="0" w:line="240" w:lineRule="auto"/>
            </w:pPr>
            <w:r>
              <w:rPr>
                <w:b/>
                <w:color w:val="000000"/>
                <w:sz w:val="17"/>
              </w:rPr>
              <w:t xml:space="preserve">Model checks</w:t>
            </w:r>
          </w:p>
        </w:tc>
        <w:tc>
          <w:tcPr>
            <w:tcW w:type="dxa" w:w="7224"/>
            <w:vAlign w:val="center"/>
          </w:tcPr>
          <w:p>
            <w:pPr>
              <w:spacing w:after="0" w:before="0" w:line="240" w:lineRule="auto"/>
            </w:pPr>
            <w:r>
              <w:rPr>
                <w:color w:val="000000"/>
                <w:sz w:val="17"/>
              </w:rPr>
              <w:t xml:space="preserve">The 66 acceptance gates described above, run on the selected month in both models. Earlier checks also covered: every item finishes; hours booked equal the task table; the trial balance balances and net assets equal equity; the close and pack are reached; the same seed gives the same result; both models see the same random month; changing targets does not change the result; more accountants never make the close later; more volume and longer task times mean more hours; slower systems never make the close earlier; and with no AP staff the month still ends and the gap is visible.</w:t>
            </w:r>
          </w:p>
        </w:tc>
      </w:tr>
      <w:tr>
        <w:trPr>
          <w:cantSplit/>
        </w:trPr>
        <w:tc>
          <w:tcPr>
            <w:tcW w:type="dxa" w:w="3000"/>
            <w:vAlign w:val="center"/>
          </w:tcPr>
          <w:p>
            <w:pPr>
              <w:spacing w:after="0" w:before="0" w:line="240" w:lineRule="auto"/>
            </w:pPr>
            <w:r>
              <w:rPr>
                <w:b/>
                <w:color w:val="000000"/>
                <w:sz w:val="17"/>
              </w:rPr>
              <w:t xml:space="preserve">Back-test</w:t>
            </w:r>
          </w:p>
        </w:tc>
        <w:tc>
          <w:tcPr>
            <w:tcW w:type="dxa" w:w="7224"/>
            <w:vAlign w:val="center"/>
          </w:tcPr>
          <w:p>
            <w:pPr>
              <w:spacing w:after="0" w:before="0" w:line="240" w:lineRule="auto"/>
            </w:pPr>
            <w:r>
              <w:rPr>
                <w:color w:val="000000"/>
                <w:sz w:val="17"/>
              </w:rPr>
              <w:t xml:space="preserve">Enter the actual close and pack days for the last twelve months; today’s model is run for the same months in sequence, with backlog carried, and the average error and bias are reported.</w:t>
            </w:r>
          </w:p>
        </w:tc>
      </w:tr>
      <w:tr>
        <w:trPr>
          <w:cantSplit/>
        </w:trPr>
        <w:tc>
          <w:tcPr>
            <w:tcW w:type="dxa" w:w="3000"/>
            <w:vAlign w:val="center"/>
          </w:tcPr>
          <w:p>
            <w:pPr>
              <w:spacing w:after="0" w:before="0" w:line="240" w:lineRule="auto"/>
            </w:pPr>
            <w:r>
              <w:rPr>
                <w:b/>
                <w:color w:val="000000"/>
                <w:sz w:val="17"/>
              </w:rPr>
              <w:t xml:space="preserve">Sensitivity</w:t>
            </w:r>
          </w:p>
        </w:tc>
        <w:tc>
          <w:tcPr>
            <w:tcW w:type="dxa" w:w="7224"/>
            <w:vAlign w:val="center"/>
          </w:tcPr>
          <w:p>
            <w:pPr>
              <w:spacing w:after="0" w:before="0" w:line="240" w:lineRule="auto"/>
            </w:pPr>
            <w:r>
              <w:rPr>
                <w:color w:val="000000"/>
                <w:sz w:val="17"/>
              </w:rPr>
              <w:t xml:space="preserve">Twelve inputs (task minutes today and with agents, acceptance, other work, volumes, reply time, agent processing time, three headcounts, the low-value share and the share of other work kept in peaks) are moved down and up one at a time; bars show how far each moves the hours saved, the close day with agents and the close day today.</w:t>
            </w:r>
          </w:p>
        </w:tc>
      </w:tr>
      <w:tr>
        <w:trPr>
          <w:cantSplit/>
        </w:trPr>
        <w:tc>
          <w:tcPr>
            <w:tcW w:type="dxa" w:w="3000"/>
            <w:vAlign w:val="center"/>
          </w:tcPr>
          <w:p>
            <w:pPr>
              <w:spacing w:after="0" w:before="0" w:line="240" w:lineRule="auto"/>
            </w:pPr>
            <w:r>
              <w:rPr>
                <w:b/>
                <w:color w:val="000000"/>
                <w:sz w:val="17"/>
              </w:rPr>
              <w:t xml:space="preserve">Range of outcomes</w:t>
            </w:r>
          </w:p>
        </w:tc>
        <w:tc>
          <w:tcPr>
            <w:tcW w:type="dxa" w:w="7224"/>
            <w:vAlign w:val="center"/>
          </w:tcPr>
          <w:p>
            <w:pPr>
              <w:spacing w:after="0" w:before="0" w:line="240" w:lineRule="auto"/>
            </w:pPr>
            <w:r>
              <w:rPr>
                <w:color w:val="000000"/>
                <w:sz w:val="17"/>
              </w:rPr>
              <w:t xml:space="preserve">Runs the month many times under both models with the same random draws for each pair, optionally also drawing the uncertain inputs from their ranges (Latin hypercube sampling). Reports the mean with a 95% confidence interval, P10 and P90 for each model, and the difference between them run by run.</w:t>
            </w:r>
          </w:p>
        </w:tc>
      </w:tr>
      <w:tr>
        <w:trPr>
          <w:cantSplit/>
        </w:trPr>
        <w:tc>
          <w:tcPr>
            <w:tcW w:type="dxa" w:w="3000"/>
            <w:vAlign w:val="center"/>
          </w:tcPr>
          <w:p>
            <w:pPr>
              <w:spacing w:after="0" w:before="0" w:line="240" w:lineRule="auto"/>
            </w:pPr>
            <w:r>
              <w:rPr>
                <w:b/>
                <w:color w:val="000000"/>
                <w:sz w:val="17"/>
              </w:rPr>
              <w:t xml:space="preserve">Global sensitivity</w:t>
            </w:r>
          </w:p>
        </w:tc>
        <w:tc>
          <w:tcPr>
            <w:tcW w:type="dxa" w:w="7224"/>
            <w:vAlign w:val="center"/>
          </w:tcPr>
          <w:p>
            <w:pPr>
              <w:spacing w:after="0" w:before="0" w:line="240" w:lineRule="auto"/>
            </w:pPr>
            <w:r>
              <w:rPr>
                <w:color w:val="000000"/>
                <w:sz w:val="17"/>
              </w:rPr>
              <w:t xml:space="preserve">Varies all the uncertain inputs at once and splits the variation in hours saved, the close and the pack between them (variance-based Sobol indices: Saltelli first-order and Jansen total effect), showing how much each input matters alone and through interactions.</w:t>
            </w:r>
          </w:p>
        </w:tc>
      </w:tr>
      <w:tr>
        <w:trPr>
          <w:cantSplit/>
        </w:trPr>
        <w:tc>
          <w:tcPr>
            <w:tcW w:type="dxa" w:w="3000"/>
            <w:vAlign w:val="center"/>
          </w:tcPr>
          <w:p>
            <w:pPr>
              <w:spacing w:after="0" w:before="0" w:line="240" w:lineRule="auto"/>
            </w:pPr>
            <w:r>
              <w:rPr>
                <w:b/>
                <w:color w:val="000000"/>
                <w:sz w:val="17"/>
              </w:rPr>
              <w:t xml:space="preserve">Event log</w:t>
            </w:r>
          </w:p>
        </w:tc>
        <w:tc>
          <w:tcPr>
            <w:tcW w:type="dxa" w:w="7224"/>
            <w:vAlign w:val="center"/>
          </w:tcPr>
          <w:p>
            <w:pPr>
              <w:spacing w:after="0" w:before="0" w:line="240" w:lineRule="auto"/>
            </w:pPr>
            <w:r>
              <w:rPr>
                <w:color w:val="000000"/>
                <w:sz w:val="17"/>
              </w:rPr>
              <w:t xml:space="preserve">Every step of every item (arrival, who or what it reached, when it left, whether it waited) can be exported as a CSV file for audit.</w:t>
            </w:r>
          </w:p>
        </w:tc>
      </w:tr>
    </w:tbl>
    <w:p>
      <w:r>
        <w:rPr>
          <w:sz w:val="18"/>
        </w:rPr>
        <w:t xml:space="preserve">On the default assumptions all 66 acceptance gates pass, today’s model closes on day 7 and issues the pack on day 10 in April (day 9 in most other months), and the back-test against the default timetable gives an average error of 0.5 days on the close and 0.7 days on the pack. With uncertainty about inputs and randomness both on, 100 paired runs of April give 285 hours less service requested (± 15 hours, 95% confidence), a close 3.7 working days earlier and a pack 6.8 days earlier, with every run favouring the recommended model; these are estimation and input-uncertainty ranges, not forecast accuracy, because the model is not yet calibrated to actual operations. The effort saved depends mainly on today’s task minutes and the minutes with agents.</w:t>
      </w:r>
    </w:p>
    <w:p>
      <w:pPr>
        <w:pStyle w:val="Heading2"/>
      </w:pPr>
      <w:r>
        <w:t xml:space="preserve">What it does not model</w:t>
      </w:r>
    </w:p>
    <w:p>
      <w:r>
        <w:rPr>
          <w:sz w:val="19"/>
        </w:rPr>
        <w:t xml:space="preserve">The simulation is the end state, not the rollout: it does not show the shadow period, learning curve or temporary double running. It does not model procurement, legal, IT, HR or internal audit as departments; errors beyond the rework rate; customer or supplier behaviour changing; VAT in the ledger; or more than one legal entity. Today’s model reflects the process as described in Part A, which still contains assumptions to confirm.</w:t>
      </w:r>
    </w:p>
    <w:p>
      <w:pPr>
        <w:pStyle w:val="Heading2"/>
      </w:pPr>
      <w:r>
        <w:t xml:space="preserve">Validation before use</w:t>
      </w:r>
    </w:p>
    <w:p>
      <w:r>
        <w:rPr>
          <w:sz w:val="19"/>
        </w:rPr>
        <w:t xml:space="preserve">Recommended steps: replace the organisation and volumes with real figures; run a time log; back-test by running the last twelve months and checking the close and pack days against what actually happened; agree the targets and financial assumptions with the CFO; then use the range of outcomes rather than a single run when presenting.</w:t>
      </w:r>
    </w:p>
    <w:p>
      <w:pPr>
        <w:pStyle w:val="Title"/>
        <w:pageBreakBefore/>
      </w:pPr>
      <w:r>
        <w:t>CFO office process guide</w:t>
      </w:r>
    </w:p>
    <w:p>
      <w:pPr>
        <w:pStyle w:val="Heading1"/>
      </w:pPr>
      <w:r>
        <w:t xml:space="preserve">Maintaining the simulation</w:t>
      </w:r>
    </w:p>
    <w:p>
      <w:pPr>
        <w:spacing w:after="100"/>
      </w:pPr>
      <w:r>
        <w:t xml:space="preserve">The simulation is one HTML file containing its styles, page structure and JavaScript. It needs no build step. The only external resource is a web font, with system fonts as the fallback.</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000"/>
        <w:gridCol w:w="7224"/>
      </w:tblGrid>
      <w:tr>
        <w:trPr>
          <w:tblHeader/>
        </w:trPr>
        <w:tc>
          <w:tcPr>
            <w:tcW w:type="dxa" w:w="3000"/>
            <w:shd w:val="clear" w:color="auto" w:fill="DCE6F1"/>
            <w:vAlign w:val="center"/>
          </w:tcPr>
          <w:p>
            <w:pPr>
              <w:spacing w:after="0" w:before="0" w:line="240" w:lineRule="auto"/>
            </w:pPr>
            <w:r>
              <w:rPr>
                <w:b/>
                <w:color w:val="000000"/>
                <w:sz w:val="18"/>
              </w:rPr>
              <w:t xml:space="preserve">Part of the code</w:t>
            </w:r>
          </w:p>
        </w:tc>
        <w:tc>
          <w:tcPr>
            <w:tcW w:type="dxa" w:w="7224"/>
            <w:shd w:val="clear" w:color="auto" w:fill="DCE6F1"/>
            <w:vAlign w:val="center"/>
          </w:tcPr>
          <w:p>
            <w:pPr>
              <w:spacing w:after="0" w:before="0" w:line="240" w:lineRule="auto"/>
            </w:pPr>
            <w:r>
              <w:rPr>
                <w:b/>
                <w:color w:val="000000"/>
                <w:sz w:val="18"/>
              </w:rPr>
              <w:t xml:space="preserve">What it holds</w:t>
            </w:r>
          </w:p>
        </w:tc>
      </w:tr>
      <w:tr>
        <w:trPr>
          <w:cantSplit/>
        </w:trPr>
        <w:tc>
          <w:tcPr>
            <w:tcW w:type="dxa" w:w="3000"/>
            <w:vAlign w:val="center"/>
          </w:tcPr>
          <w:p>
            <w:pPr>
              <w:spacing w:after="0" w:before="0" w:line="240" w:lineRule="auto"/>
            </w:pPr>
            <w:r>
              <w:rPr>
                <w:b/>
                <w:color w:val="000000"/>
                <w:sz w:val="18"/>
              </w:rPr>
              <w:t xml:space="preserve">Model definitions</w:t>
            </w:r>
          </w:p>
        </w:tc>
        <w:tc>
          <w:tcPr>
            <w:tcW w:type="dxa" w:w="7224"/>
            <w:vAlign w:val="center"/>
          </w:tcPr>
          <w:p>
            <w:pPr>
              <w:spacing w:after="0" w:before="0" w:line="240" w:lineRule="auto"/>
            </w:pPr>
            <w:r>
              <w:rPr>
                <w:color w:val="000000"/>
                <w:sz w:val="18"/>
              </w:rPr>
              <w:t xml:space="preserve">Boxes in each lane for both models; the organisation (ORG); role descriptions; featured walkthroughs (CASES)</w:t>
            </w:r>
          </w:p>
        </w:tc>
      </w:tr>
      <w:tr>
        <w:trPr>
          <w:cantSplit/>
        </w:trPr>
        <w:tc>
          <w:tcPr>
            <w:tcW w:type="dxa" w:w="3000"/>
            <w:vAlign w:val="center"/>
          </w:tcPr>
          <w:p>
            <w:pPr>
              <w:spacing w:after="0" w:before="0" w:line="240" w:lineRule="auto"/>
            </w:pPr>
            <w:r>
              <w:rPr>
                <w:b/>
                <w:color w:val="000000"/>
                <w:sz w:val="18"/>
              </w:rPr>
              <w:t xml:space="preserve">Assumptions</w:t>
            </w:r>
          </w:p>
        </w:tc>
        <w:tc>
          <w:tcPr>
            <w:tcW w:type="dxa" w:w="7224"/>
            <w:vAlign w:val="center"/>
          </w:tcPr>
          <w:p>
            <w:pPr>
              <w:spacing w:after="0" w:before="0" w:line="240" w:lineRule="auto"/>
            </w:pPr>
            <w:r>
              <w:rPr>
                <w:color w:val="000000"/>
                <w:sz w:val="18"/>
              </w:rPr>
              <w:t xml:space="preserve">Volumes (VOL), agent settings (AGENTSET), minutes per task (TIMES), variability (VARSET), financial assumptions (FINSET), calendar (CAL, SEAS, LEAVE)</w:t>
            </w:r>
          </w:p>
        </w:tc>
      </w:tr>
      <w:tr>
        <w:trPr>
          <w:cantSplit/>
        </w:trPr>
        <w:tc>
          <w:tcPr>
            <w:tcW w:type="dxa" w:w="3000"/>
            <w:vAlign w:val="center"/>
          </w:tcPr>
          <w:p>
            <w:pPr>
              <w:spacing w:after="0" w:before="0" w:line="240" w:lineRule="auto"/>
            </w:pPr>
            <w:r>
              <w:rPr>
                <w:b/>
                <w:color w:val="000000"/>
                <w:sz w:val="18"/>
              </w:rPr>
              <w:t xml:space="preserve">Month plan (buildPlan)</w:t>
            </w:r>
          </w:p>
        </w:tc>
        <w:tc>
          <w:tcPr>
            <w:tcW w:type="dxa" w:w="7224"/>
            <w:vAlign w:val="center"/>
          </w:tcPr>
          <w:p>
            <w:pPr>
              <w:spacing w:after="0" w:before="0" w:line="240" w:lineRule="auto"/>
            </w:pPr>
            <w:r>
              <w:rPr>
                <w:color w:val="000000"/>
                <w:sz w:val="18"/>
              </w:rPr>
              <w:t xml:space="preserve">The default task set for both models: schedule, route, who works on it and for how long, dependencies and financial tags. Everything in it can be overridden from the task table (OVR: days, items, people, minutes, agent minutes, acceptance, dependencies) and tasks added from the page (CUSTOM)</w:t>
            </w:r>
          </w:p>
        </w:tc>
      </w:tr>
      <w:tr>
        <w:trPr>
          <w:cantSplit/>
        </w:trPr>
        <w:tc>
          <w:tcPr>
            <w:tcW w:type="dxa" w:w="3000"/>
            <w:vAlign w:val="center"/>
          </w:tcPr>
          <w:p>
            <w:pPr>
              <w:spacing w:after="0" w:before="0" w:line="240" w:lineRule="auto"/>
            </w:pPr>
            <w:r>
              <w:rPr>
                <w:b/>
                <w:color w:val="000000"/>
                <w:sz w:val="18"/>
              </w:rPr>
              <w:t xml:space="preserve">Event engine</w:t>
            </w:r>
          </w:p>
        </w:tc>
        <w:tc>
          <w:tcPr>
            <w:tcW w:type="dxa" w:w="7224"/>
            <w:vAlign w:val="center"/>
          </w:tcPr>
          <w:p>
            <w:pPr>
              <w:spacing w:after="0" w:before="0" w:line="240" w:lineRule="auto"/>
            </w:pPr>
            <w:r>
              <w:rPr>
                <w:color w:val="000000"/>
                <w:sz w:val="18"/>
              </w:rPr>
              <w:t xml:space="preserve">Items and arrival times (buildItems), the priority queue of events (runDES), people and agent booking, milestones, the event log and the replay used by the animation</w:t>
            </w:r>
          </w:p>
        </w:tc>
      </w:tr>
      <w:tr>
        <w:trPr>
          <w:cantSplit/>
        </w:trPr>
        <w:tc>
          <w:tcPr>
            <w:tcW w:type="dxa" w:w="3000"/>
            <w:vAlign w:val="center"/>
          </w:tcPr>
          <w:p>
            <w:pPr>
              <w:spacing w:after="0" w:before="0" w:line="240" w:lineRule="auto"/>
            </w:pPr>
            <w:r>
              <w:rPr>
                <w:b/>
                <w:color w:val="000000"/>
                <w:sz w:val="18"/>
              </w:rPr>
              <w:t xml:space="preserve">Statistics</w:t>
            </w:r>
          </w:p>
        </w:tc>
        <w:tc>
          <w:tcPr>
            <w:tcW w:type="dxa" w:w="7224"/>
            <w:vAlign w:val="center"/>
          </w:tcPr>
          <w:p>
            <w:pPr>
              <w:spacing w:after="0" w:before="0" w:line="240" w:lineRule="auto"/>
            </w:pPr>
            <w:r>
              <w:rPr>
                <w:color w:val="000000"/>
                <w:sz w:val="18"/>
              </w:rPr>
              <w:t xml:space="preserve">Keyed random numbers (U), uncertainty ranges (UNC), Latin hypercube sampling, paired runs with confidence intervals, and the Sobol sensitivity analysis</w:t>
            </w:r>
          </w:p>
        </w:tc>
      </w:tr>
      <w:tr>
        <w:trPr>
          <w:cantSplit/>
        </w:trPr>
        <w:tc>
          <w:tcPr>
            <w:tcW w:type="dxa" w:w="3000"/>
            <w:vAlign w:val="center"/>
          </w:tcPr>
          <w:p>
            <w:pPr>
              <w:spacing w:after="0" w:before="0" w:line="240" w:lineRule="auto"/>
            </w:pPr>
            <w:r>
              <w:rPr>
                <w:b/>
                <w:color w:val="000000"/>
                <w:sz w:val="18"/>
              </w:rPr>
              <w:t xml:space="preserve">Checks, back-test and sensitivity</w:t>
            </w:r>
          </w:p>
        </w:tc>
        <w:tc>
          <w:tcPr>
            <w:tcW w:type="dxa" w:w="7224"/>
            <w:vAlign w:val="center"/>
          </w:tcPr>
          <w:p>
            <w:pPr>
              <w:spacing w:after="0" w:before="0" w:line="240" w:lineRule="auto"/>
            </w:pPr>
            <w:r>
              <w:rPr>
                <w:color w:val="000000"/>
                <w:sz w:val="18"/>
              </w:rPr>
              <w:t xml:space="preserve">Built-in model checks, the back-test against the actual timetable and the sensitivity analysis</w:t>
            </w:r>
          </w:p>
        </w:tc>
      </w:tr>
      <w:tr>
        <w:trPr>
          <w:cantSplit/>
        </w:trPr>
        <w:tc>
          <w:tcPr>
            <w:tcW w:type="dxa" w:w="3000"/>
            <w:vAlign w:val="center"/>
          </w:tcPr>
          <w:p>
            <w:pPr>
              <w:spacing w:after="0" w:before="0" w:line="240" w:lineRule="auto"/>
            </w:pPr>
            <w:r>
              <w:rPr>
                <w:b/>
                <w:color w:val="000000"/>
                <w:sz w:val="18"/>
              </w:rPr>
              <w:t xml:space="preserve">Calendar and variability</w:t>
            </w:r>
          </w:p>
        </w:tc>
        <w:tc>
          <w:tcPr>
            <w:tcW w:type="dxa" w:w="7224"/>
            <w:vAlign w:val="center"/>
          </w:tcPr>
          <w:p>
            <w:pPr>
              <w:spacing w:after="0" w:before="0" w:line="240" w:lineRule="auto"/>
            </w:pPr>
            <w:r>
              <w:rPr>
                <w:color w:val="000000"/>
                <w:sz w:val="18"/>
              </w:rPr>
              <w:t xml:space="preserve">Working days, payroll date, month flags, seasonality, presence, random variation</w:t>
            </w:r>
          </w:p>
        </w:tc>
      </w:tr>
      <w:tr>
        <w:trPr>
          <w:cantSplit/>
        </w:trPr>
        <w:tc>
          <w:tcPr>
            <w:tcW w:type="dxa" w:w="3000"/>
            <w:vAlign w:val="center"/>
          </w:tcPr>
          <w:p>
            <w:pPr>
              <w:spacing w:after="0" w:before="0" w:line="240" w:lineRule="auto"/>
            </w:pPr>
            <w:r>
              <w:rPr>
                <w:b/>
                <w:color w:val="000000"/>
                <w:sz w:val="18"/>
              </w:rPr>
              <w:t xml:space="preserve">General ledger</w:t>
            </w:r>
          </w:p>
        </w:tc>
        <w:tc>
          <w:tcPr>
            <w:tcW w:type="dxa" w:w="7224"/>
            <w:vAlign w:val="center"/>
          </w:tcPr>
          <w:p>
            <w:pPr>
              <w:spacing w:after="0" w:before="0" w:line="240" w:lineRule="auto"/>
            </w:pPr>
            <w:r>
              <w:rPr>
                <w:color w:val="000000"/>
                <w:sz w:val="18"/>
              </w:rPr>
              <w:t xml:space="preserve">Chart of accounts, journal posting, month-end adjustments, statements derived from the ledger</w:t>
            </w:r>
          </w:p>
        </w:tc>
      </w:tr>
      <w:tr>
        <w:trPr>
          <w:cantSplit/>
        </w:trPr>
        <w:tc>
          <w:tcPr>
            <w:tcW w:type="dxa" w:w="3000"/>
            <w:vAlign w:val="center"/>
          </w:tcPr>
          <w:p>
            <w:pPr>
              <w:spacing w:after="0" w:before="0" w:line="240" w:lineRule="auto"/>
            </w:pPr>
            <w:r>
              <w:rPr>
                <w:b/>
                <w:color w:val="000000"/>
                <w:sz w:val="18"/>
              </w:rPr>
              <w:t xml:space="preserve">Playbooks and generated cases</w:t>
            </w:r>
          </w:p>
        </w:tc>
        <w:tc>
          <w:tcPr>
            <w:tcW w:type="dxa" w:w="7224"/>
            <w:vAlign w:val="center"/>
          </w:tcPr>
          <w:p>
            <w:pPr>
              <w:spacing w:after="0" w:before="0" w:line="240" w:lineRule="auto"/>
            </w:pPr>
            <w:r>
              <w:rPr>
                <w:color w:val="000000"/>
                <w:sz w:val="18"/>
              </w:rPr>
              <w:t xml:space="preserve">Playbook content and coverage; one walkthrough per task built from the plan</w:t>
            </w:r>
          </w:p>
        </w:tc>
      </w:tr>
      <w:tr>
        <w:trPr>
          <w:cantSplit/>
        </w:trPr>
        <w:tc>
          <w:tcPr>
            <w:tcW w:type="dxa" w:w="3000"/>
            <w:vAlign w:val="center"/>
          </w:tcPr>
          <w:p>
            <w:pPr>
              <w:spacing w:after="0" w:before="0" w:line="240" w:lineRule="auto"/>
            </w:pPr>
            <w:r>
              <w:rPr>
                <w:b/>
                <w:color w:val="000000"/>
                <w:sz w:val="18"/>
              </w:rPr>
              <w:t xml:space="preserve">Scenario files</w:t>
            </w:r>
          </w:p>
        </w:tc>
        <w:tc>
          <w:tcPr>
            <w:tcW w:type="dxa" w:w="7224"/>
            <w:vAlign w:val="center"/>
          </w:tcPr>
          <w:p>
            <w:pPr>
              <w:spacing w:after="0" w:before="0" w:line="240" w:lineRule="auto"/>
            </w:pPr>
            <w:r>
              <w:rPr>
                <w:color w:val="000000"/>
                <w:sz w:val="18"/>
              </w:rPr>
              <w:t xml:space="preserve">Save and load every input as a JSON file</w:t>
            </w:r>
          </w:p>
        </w:tc>
      </w:tr>
      <w:tr>
        <w:trPr>
          <w:cantSplit/>
        </w:trPr>
        <w:tc>
          <w:tcPr>
            <w:tcW w:type="dxa" w:w="3000"/>
            <w:vAlign w:val="center"/>
          </w:tcPr>
          <w:p>
            <w:pPr>
              <w:spacing w:after="0" w:before="0" w:line="240" w:lineRule="auto"/>
            </w:pPr>
            <w:r>
              <w:rPr>
                <w:b/>
                <w:color w:val="000000"/>
                <w:sz w:val="18"/>
              </w:rPr>
              <w:t xml:space="preserve">Views</w:t>
            </w:r>
          </w:p>
        </w:tc>
        <w:tc>
          <w:tcPr>
            <w:tcW w:type="dxa" w:w="7224"/>
            <w:vAlign w:val="center"/>
          </w:tcPr>
          <w:p>
            <w:pPr>
              <w:spacing w:after="0" w:before="0" w:line="240" w:lineRule="auto"/>
            </w:pPr>
            <w:r>
              <w:rPr>
                <w:color w:val="000000"/>
                <w:sz w:val="18"/>
              </w:rPr>
              <w:t xml:space="preserve">Process board, comparison, year view, range of outcomes, statements, journals and ledger, walkthrough player</w:t>
            </w:r>
          </w:p>
        </w:tc>
      </w:tr>
    </w:tbl>
    <w:p>
      <w:r>
        <w:rPr>
          <w:sz w:val="19"/>
        </w:rPr>
        <w:t xml:space="preserve">Most changes are data changes: edit the assumption lists, the task table or the other panels on the page. Tasks can be added from the page; to make an addition permanent, add its minutes to TIMES and schedule it in buildPlan for both models; its walkthrough, playbook coverage, hours and journals (if it posts) follow automatically. After any change, run the model checks and the back-test, and check that today still matches the actual timetable. Record the change in this guide’s change log.</w:t>
      </w:r>
    </w:p>
    <w:p>
      <w:pPr>
        <w:pStyle w:val="Title"/>
        <w:pageBreakBefore/>
      </w:pPr>
      <w:r>
        <w:t>CFO office process guide</w:t>
      </w:r>
    </w:p>
    <w:p>
      <w:pPr>
        <w:pStyle w:val="Heading1"/>
      </w:pPr>
      <w:r>
        <w:t xml:space="preserve">Response to the technical audit (17 October 2026)</w:t>
      </w:r>
    </w:p>
    <w:p>
      <w:pPr>
        <w:spacing w:after="100"/>
      </w:pPr>
      <w:r>
        <w:t xml:space="preserve">The audit found that the earlier engine had a genuine time-ordered event queue but overbooked people, let some work complete without resources, lost work at month boundaries and inserted some financial benefits by formula. The engine and its link to the ledger were rebuilt. Each finding, its fix and the check that now tests it:</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2600"/>
        <w:gridCol w:w="4700"/>
        <w:gridCol w:w="2924"/>
      </w:tblGrid>
      <w:tr>
        <w:trPr>
          <w:tblHeader/>
        </w:trPr>
        <w:tc>
          <w:tcPr>
            <w:tcW w:type="dxa" w:w="2600"/>
            <w:shd w:val="clear" w:color="auto" w:fill="DCE6F1"/>
            <w:vAlign w:val="center"/>
          </w:tcPr>
          <w:p>
            <w:pPr>
              <w:spacing w:after="0" w:before="0" w:line="240" w:lineRule="auto"/>
            </w:pPr>
            <w:r>
              <w:rPr>
                <w:b/>
                <w:color w:val="000000"/>
                <w:sz w:val="15"/>
              </w:rPr>
              <w:t xml:space="preserve">Finding</w:t>
            </w:r>
          </w:p>
        </w:tc>
        <w:tc>
          <w:tcPr>
            <w:tcW w:type="dxa" w:w="4700"/>
            <w:shd w:val="clear" w:color="auto" w:fill="DCE6F1"/>
            <w:vAlign w:val="center"/>
          </w:tcPr>
          <w:p>
            <w:pPr>
              <w:spacing w:after="0" w:before="0" w:line="240" w:lineRule="auto"/>
            </w:pPr>
            <w:r>
              <w:rPr>
                <w:b/>
                <w:color w:val="000000"/>
                <w:sz w:val="15"/>
              </w:rPr>
              <w:t xml:space="preserve">What was changed</w:t>
            </w:r>
          </w:p>
        </w:tc>
        <w:tc>
          <w:tcPr>
            <w:tcW w:type="dxa" w:w="2924"/>
            <w:shd w:val="clear" w:color="auto" w:fill="DCE6F1"/>
            <w:vAlign w:val="center"/>
          </w:tcPr>
          <w:p>
            <w:pPr>
              <w:spacing w:after="0" w:before="0" w:line="240" w:lineRule="auto"/>
            </w:pPr>
            <w:r>
              <w:rPr>
                <w:b/>
                <w:color w:val="000000"/>
                <w:sz w:val="15"/>
              </w:rPr>
              <w:t xml:space="preserve">Tested by</w:t>
            </w:r>
          </w:p>
        </w:tc>
      </w:tr>
      <w:tr>
        <w:trPr>
          <w:cantSplit/>
        </w:trPr>
        <w:tc>
          <w:tcPr>
            <w:tcW w:type="dxa" w:w="2600"/>
            <w:vAlign w:val="center"/>
          </w:tcPr>
          <w:p>
            <w:pPr>
              <w:spacing w:after="0" w:before="0" w:line="240" w:lineRule="auto"/>
            </w:pPr>
            <w:r>
              <w:rPr>
                <w:b/>
                <w:color w:val="000000"/>
                <w:sz w:val="15"/>
              </w:rPr>
              <w:t xml:space="preserve">P0 Priority work overlapped work already assigned</w:t>
            </w:r>
          </w:p>
        </w:tc>
        <w:tc>
          <w:tcPr>
            <w:tcW w:type="dxa" w:w="4700"/>
            <w:vAlign w:val="center"/>
          </w:tcPr>
          <w:p>
            <w:pPr>
              <w:spacing w:after="0" w:before="0" w:line="240" w:lineRule="auto"/>
            </w:pPr>
            <w:r>
              <w:rPr>
                <w:color w:val="000000"/>
                <w:sz w:val="15"/>
              </w:rPr>
              <w:t xml:space="preserve">Resource pools with idle and busy slots and queues; a stage starts only when a slot is free; priority orders the queue and never interrupts work in progress</w:t>
            </w:r>
          </w:p>
        </w:tc>
        <w:tc>
          <w:tcPr>
            <w:tcW w:type="dxa" w:w="2924"/>
            <w:vAlign w:val="center"/>
          </w:tcPr>
          <w:p>
            <w:pPr>
              <w:spacing w:after="0" w:before="0" w:line="240" w:lineRule="auto"/>
            </w:pPr>
            <w:r>
              <w:rPr>
                <w:color w:val="000000"/>
                <w:sz w:val="15"/>
              </w:rPr>
              <w:t xml:space="preserve">No resource does more work than it has slots for</w:t>
            </w:r>
          </w:p>
        </w:tc>
      </w:tr>
      <w:tr>
        <w:trPr>
          <w:cantSplit/>
        </w:trPr>
        <w:tc>
          <w:tcPr>
            <w:tcW w:type="dxa" w:w="2600"/>
            <w:vAlign w:val="center"/>
          </w:tcPr>
          <w:p>
            <w:pPr>
              <w:spacing w:after="0" w:before="0" w:line="240" w:lineRule="auto"/>
            </w:pPr>
            <w:r>
              <w:rPr>
                <w:b/>
                <w:color w:val="000000"/>
                <w:sz w:val="15"/>
              </w:rPr>
              <w:t xml:space="preserve">P0 No worker became a 400-day service time; the effort guard returned early</w:t>
            </w:r>
          </w:p>
        </w:tc>
        <w:tc>
          <w:tcPr>
            <w:tcW w:type="dxa" w:w="4700"/>
            <w:vAlign w:val="center"/>
          </w:tcPr>
          <w:p>
            <w:pPr>
              <w:spacing w:after="0" w:before="0" w:line="240" w:lineRule="auto"/>
            </w:pPr>
            <w:r>
              <w:rPr>
                <w:color w:val="000000"/>
                <w:sz w:val="15"/>
              </w:rPr>
              <w:t xml:space="preserve">Zero capacity leaves work queued; no sentinel or guard completes work; the run ends with the work reported as unfinished</w:t>
            </w:r>
          </w:p>
        </w:tc>
        <w:tc>
          <w:tcPr>
            <w:tcW w:type="dxa" w:w="2924"/>
            <w:vAlign w:val="center"/>
          </w:tcPr>
          <w:p>
            <w:pPr>
              <w:spacing w:after="0" w:before="0" w:line="240" w:lineRule="auto"/>
            </w:pPr>
            <w:r>
              <w:rPr>
                <w:color w:val="000000"/>
                <w:sz w:val="15"/>
              </w:rPr>
              <w:t xml:space="preserve">No AP staff: AP work never starts and stays unfinished</w:t>
            </w:r>
          </w:p>
        </w:tc>
      </w:tr>
      <w:tr>
        <w:trPr>
          <w:cantSplit/>
        </w:trPr>
        <w:tc>
          <w:tcPr>
            <w:tcW w:type="dxa" w:w="2600"/>
            <w:vAlign w:val="center"/>
          </w:tcPr>
          <w:p>
            <w:pPr>
              <w:spacing w:after="0" w:before="0" w:line="240" w:lineRule="auto"/>
            </w:pPr>
            <w:r>
              <w:rPr>
                <w:b/>
                <w:color w:val="000000"/>
                <w:sz w:val="15"/>
              </w:rPr>
              <w:t xml:space="preserve">P1 Bookings used a capacity policy that changed before they finished</w:t>
            </w:r>
          </w:p>
        </w:tc>
        <w:tc>
          <w:tcPr>
            <w:tcW w:type="dxa" w:w="4700"/>
            <w:vAlign w:val="center"/>
          </w:tcPr>
          <w:p>
            <w:pPr>
              <w:spacing w:after="0" w:before="0" w:line="240" w:lineRule="auto"/>
            </w:pPr>
            <w:r>
              <w:rPr>
                <w:color w:val="000000"/>
                <w:sz w:val="15"/>
              </w:rPr>
              <w:t xml:space="preserve">Capacity is set at a day-start event; work in progress is advanced and rescheduled at the new rate</w:t>
            </w:r>
          </w:p>
        </w:tc>
        <w:tc>
          <w:tcPr>
            <w:tcW w:type="dxa" w:w="2924"/>
            <w:vAlign w:val="center"/>
          </w:tcPr>
          <w:p>
            <w:pPr>
              <w:spacing w:after="0" w:before="0" w:line="240" w:lineRule="auto"/>
            </w:pPr>
            <w:r>
              <w:rPr>
                <w:color w:val="000000"/>
                <w:sz w:val="15"/>
              </w:rPr>
              <w:t xml:space="preserve">Delivered plus remaining effort equals required effort</w:t>
            </w:r>
          </w:p>
        </w:tc>
      </w:tr>
      <w:tr>
        <w:trPr>
          <w:cantSplit/>
        </w:trPr>
        <w:tc>
          <w:tcPr>
            <w:tcW w:type="dxa" w:w="2600"/>
            <w:vAlign w:val="center"/>
          </w:tcPr>
          <w:p>
            <w:pPr>
              <w:spacing w:after="0" w:before="0" w:line="240" w:lineRule="auto"/>
            </w:pPr>
            <w:r>
              <w:rPr>
                <w:b/>
                <w:color w:val="000000"/>
                <w:sz w:val="15"/>
              </w:rPr>
              <w:t xml:space="preserve">P1 Business managers and the board were delays with capped effort; advisers did no work</w:t>
            </w:r>
          </w:p>
        </w:tc>
        <w:tc>
          <w:tcPr>
            <w:tcW w:type="dxa" w:w="4700"/>
            <w:vAlign w:val="center"/>
          </w:tcPr>
          <w:p>
            <w:pPr>
              <w:spacing w:after="0" w:before="0" w:line="240" w:lineRule="auto"/>
            </w:pPr>
            <w:r>
              <w:rPr>
                <w:color w:val="000000"/>
                <w:sz w:val="15"/>
              </w:rPr>
              <w:t xml:space="preserve">Labelled as external delays with their own settings; the effort cap is removed; two signatories appear as Financial Controller approval and CFO release</w:t>
            </w:r>
          </w:p>
        </w:tc>
        <w:tc>
          <w:tcPr>
            <w:tcW w:type="dxa" w:w="2924"/>
            <w:vAlign w:val="center"/>
          </w:tcPr>
          <w:p>
            <w:pPr>
              <w:spacing w:after="0" w:before="0" w:line="240" w:lineRule="auto"/>
            </w:pPr>
            <w:r>
              <w:rPr>
                <w:color w:val="000000"/>
                <w:sz w:val="15"/>
              </w:rPr>
              <w:t xml:space="preserve">Part D, external parties</w:t>
            </w:r>
          </w:p>
        </w:tc>
      </w:tr>
      <w:tr>
        <w:trPr>
          <w:cantSplit/>
        </w:trPr>
        <w:tc>
          <w:tcPr>
            <w:tcW w:type="dxa" w:w="2600"/>
            <w:vAlign w:val="center"/>
          </w:tcPr>
          <w:p>
            <w:pPr>
              <w:spacing w:after="0" w:before="0" w:line="240" w:lineRule="auto"/>
            </w:pPr>
            <w:r>
              <w:rPr>
                <w:b/>
                <w:color w:val="000000"/>
                <w:sz w:val="15"/>
              </w:rPr>
              <w:t xml:space="preserve">P1 Agent and system outages could be bypassed; one agent slot was forced</w:t>
            </w:r>
          </w:p>
        </w:tc>
        <w:tc>
          <w:tcPr>
            <w:tcW w:type="dxa" w:w="4700"/>
            <w:vAlign w:val="center"/>
          </w:tcPr>
          <w:p>
            <w:pPr>
              <w:spacing w:after="0" w:before="0" w:line="240" w:lineRule="auto"/>
            </w:pPr>
            <w:r>
              <w:rPr>
                <w:color w:val="000000"/>
                <w:sz w:val="15"/>
              </w:rPr>
              <w:t xml:space="preserve">Outages set capacity to zero for the day; zero slots allowed; the setting is labelled per agent; capacity shown net of downtime</w:t>
            </w:r>
          </w:p>
        </w:tc>
        <w:tc>
          <w:tcPr>
            <w:tcW w:type="dxa" w:w="2924"/>
            <w:vAlign w:val="center"/>
          </w:tcPr>
          <w:p>
            <w:pPr>
              <w:spacing w:after="0" w:before="0" w:line="240" w:lineRule="auto"/>
            </w:pPr>
            <w:r>
              <w:rPr>
                <w:color w:val="000000"/>
                <w:sz w:val="15"/>
              </w:rPr>
              <w:t xml:space="preserve">Workload and capacity view</w:t>
            </w:r>
          </w:p>
        </w:tc>
      </w:tr>
      <w:tr>
        <w:trPr>
          <w:cantSplit/>
        </w:trPr>
        <w:tc>
          <w:tcPr>
            <w:tcW w:type="dxa" w:w="2600"/>
            <w:vAlign w:val="center"/>
          </w:tcPr>
          <w:p>
            <w:pPr>
              <w:spacing w:after="0" w:before="0" w:line="240" w:lineRule="auto"/>
            </w:pPr>
            <w:r>
              <w:rPr>
                <w:b/>
                <w:color w:val="000000"/>
                <w:sz w:val="15"/>
              </w:rPr>
              <w:t xml:space="preserve">P1 Batching defeated system parallelism</w:t>
            </w:r>
          </w:p>
        </w:tc>
        <w:tc>
          <w:tcPr>
            <w:tcW w:type="dxa" w:w="4700"/>
            <w:vAlign w:val="center"/>
          </w:tcPr>
          <w:p>
            <w:pPr>
              <w:spacing w:after="0" w:before="0" w:line="240" w:lineRule="auto"/>
            </w:pPr>
            <w:r>
              <w:rPr>
                <w:color w:val="000000"/>
                <w:sz w:val="15"/>
              </w:rPr>
              <w:t xml:space="preserve">Work that needs a person, agent or a system with processing time is handled item by item</w:t>
            </w:r>
          </w:p>
        </w:tc>
        <w:tc>
          <w:tcPr>
            <w:tcW w:type="dxa" w:w="2924"/>
            <w:vAlign w:val="center"/>
          </w:tcPr>
          <w:p>
            <w:pPr>
              <w:spacing w:after="0" w:before="0" w:line="240" w:lineRule="auto"/>
            </w:pPr>
            <w:r>
              <w:rPr>
                <w:color w:val="000000"/>
                <w:sz w:val="15"/>
              </w:rPr>
              <w:t xml:space="preserve">Every item has a unique identifier</w:t>
            </w:r>
          </w:p>
        </w:tc>
      </w:tr>
      <w:tr>
        <w:trPr>
          <w:cantSplit/>
        </w:trPr>
        <w:tc>
          <w:tcPr>
            <w:tcW w:type="dxa" w:w="2600"/>
            <w:vAlign w:val="center"/>
          </w:tcPr>
          <w:p>
            <w:pPr>
              <w:spacing w:after="0" w:before="0" w:line="240" w:lineRule="auto"/>
            </w:pPr>
            <w:r>
              <w:rPr>
                <w:b/>
                <w:color w:val="000000"/>
                <w:sz w:val="15"/>
              </w:rPr>
              <w:t xml:space="preserve">P0/P1 Unknown prerequisites were treated as met; cycles looked finished; remittances could precede payments</w:t>
            </w:r>
          </w:p>
        </w:tc>
        <w:tc>
          <w:tcPr>
            <w:tcW w:type="dxa" w:w="4700"/>
            <w:vAlign w:val="center"/>
          </w:tcPr>
          <w:p>
            <w:pPr>
              <w:spacing w:after="0" w:before="0" w:line="240" w:lineRule="auto"/>
            </w:pPr>
            <w:r>
              <w:rPr>
                <w:color w:val="000000"/>
                <w:sz w:val="15"/>
              </w:rPr>
              <w:t xml:space="preserve">Dependencies validated before the run; errors reported and the items stay blocked and counted; per-instance dependencies for remittances and reconciliations</w:t>
            </w:r>
          </w:p>
        </w:tc>
        <w:tc>
          <w:tcPr>
            <w:tcW w:type="dxa" w:w="2924"/>
            <w:vAlign w:val="center"/>
          </w:tcPr>
          <w:p>
            <w:pPr>
              <w:spacing w:after="0" w:before="0" w:line="240" w:lineRule="auto"/>
            </w:pPr>
            <w:r>
              <w:rPr>
                <w:color w:val="000000"/>
                <w:sz w:val="15"/>
              </w:rPr>
              <w:t xml:space="preserve">No work starts before its inputs exist; every item is counted in one state</w:t>
            </w:r>
          </w:p>
        </w:tc>
      </w:tr>
      <w:tr>
        <w:trPr>
          <w:cantSplit/>
        </w:trPr>
        <w:tc>
          <w:tcPr>
            <w:tcW w:type="dxa" w:w="2600"/>
            <w:vAlign w:val="center"/>
          </w:tcPr>
          <w:p>
            <w:pPr>
              <w:spacing w:after="0" w:before="0" w:line="240" w:lineRule="auto"/>
            </w:pPr>
            <w:r>
              <w:rPr>
                <w:b/>
                <w:color w:val="000000"/>
                <w:sz w:val="15"/>
              </w:rPr>
              <w:t xml:space="preserve">P1 Work was not conserved across months; deferred other work disappeared</w:t>
            </w:r>
          </w:p>
        </w:tc>
        <w:tc>
          <w:tcPr>
            <w:tcW w:type="dxa" w:w="4700"/>
            <w:vAlign w:val="center"/>
          </w:tcPr>
          <w:p>
            <w:pPr>
              <w:spacing w:after="0" w:before="0" w:line="240" w:lineRule="auto"/>
            </w:pPr>
            <w:r>
              <w:rPr>
                <w:color w:val="000000"/>
                <w:sz w:val="15"/>
              </w:rPr>
              <w:t xml:space="preserve">One continuous timeline for a year; month-end is an observation; deferred other work is caught up and outstanding amounts reported</w:t>
            </w:r>
          </w:p>
        </w:tc>
        <w:tc>
          <w:tcPr>
            <w:tcW w:type="dxa" w:w="2924"/>
            <w:vAlign w:val="center"/>
          </w:tcPr>
          <w:p>
            <w:pPr>
              <w:spacing w:after="0" w:before="0" w:line="240" w:lineRule="auto"/>
            </w:pPr>
            <w:r>
              <w:rPr>
                <w:color w:val="000000"/>
                <w:sz w:val="15"/>
              </w:rPr>
              <w:t xml:space="preserve">Month boundaries do not change earlier results</w:t>
            </w:r>
          </w:p>
        </w:tc>
      </w:tr>
      <w:tr>
        <w:trPr>
          <w:cantSplit/>
        </w:trPr>
        <w:tc>
          <w:tcPr>
            <w:tcW w:type="dxa" w:w="2600"/>
            <w:vAlign w:val="center"/>
          </w:tcPr>
          <w:p>
            <w:pPr>
              <w:spacing w:after="0" w:before="0" w:line="240" w:lineRule="auto"/>
            </w:pPr>
            <w:r>
              <w:rPr>
                <w:b/>
                <w:color w:val="000000"/>
                <w:sz w:val="15"/>
              </w:rPr>
              <w:t xml:space="preserve">P1 Booked demand was shown as worked hours; service statistics hid waiting and failure</w:t>
            </w:r>
          </w:p>
        </w:tc>
        <w:tc>
          <w:tcPr>
            <w:tcW w:type="dxa" w:w="4700"/>
            <w:vAlign w:val="center"/>
          </w:tcPr>
          <w:p>
            <w:pPr>
              <w:spacing w:after="0" w:before="0" w:line="240" w:lineRule="auto"/>
            </w:pPr>
            <w:r>
              <w:rPr>
                <w:color w:val="000000"/>
                <w:sz w:val="15"/>
              </w:rPr>
              <w:t xml:space="preserve">Required, delivered, queued and remaining effort kept separately; service time measured from availability and split into blocked, queued, in service and external; completion rate and unfinished work reported</w:t>
            </w:r>
          </w:p>
        </w:tc>
        <w:tc>
          <w:tcPr>
            <w:tcW w:type="dxa" w:w="2924"/>
            <w:vAlign w:val="center"/>
          </w:tcPr>
          <w:p>
            <w:pPr>
              <w:spacing w:after="0" w:before="0" w:line="240" w:lineRule="auto"/>
            </w:pPr>
            <w:r>
              <w:rPr>
                <w:color w:val="000000"/>
                <w:sz w:val="15"/>
              </w:rPr>
              <w:t xml:space="preserve">Hours requested equal the task table</w:t>
            </w:r>
          </w:p>
        </w:tc>
      </w:tr>
      <w:tr>
        <w:trPr>
          <w:cantSplit/>
        </w:trPr>
        <w:tc>
          <w:tcPr>
            <w:tcW w:type="dxa" w:w="2600"/>
            <w:vAlign w:val="center"/>
          </w:tcPr>
          <w:p>
            <w:pPr>
              <w:spacing w:after="0" w:before="0" w:line="240" w:lineRule="auto"/>
            </w:pPr>
            <w:r>
              <w:rPr>
                <w:b/>
                <w:color w:val="000000"/>
                <w:sz w:val="15"/>
              </w:rPr>
              <w:t xml:space="preserve">P0 Batch runs reused the previous clock</w:t>
            </w:r>
          </w:p>
        </w:tc>
        <w:tc>
          <w:tcPr>
            <w:tcW w:type="dxa" w:w="4700"/>
            <w:vAlign w:val="center"/>
          </w:tcPr>
          <w:p>
            <w:pPr>
              <w:spacing w:after="0" w:before="0" w:line="240" w:lineRule="auto"/>
            </w:pPr>
            <w:r>
              <w:rPr>
                <w:color w:val="000000"/>
                <w:sz w:val="15"/>
              </w:rPr>
              <w:t xml:space="preserve">All run state reset before the opening position is posted</w:t>
            </w:r>
          </w:p>
        </w:tc>
        <w:tc>
          <w:tcPr>
            <w:tcW w:type="dxa" w:w="2924"/>
            <w:vAlign w:val="center"/>
          </w:tcPr>
          <w:p>
            <w:pPr>
              <w:spacing w:after="0" w:before="0" w:line="240" w:lineRule="auto"/>
            </w:pPr>
            <w:r>
              <w:rPr>
                <w:color w:val="000000"/>
                <w:sz w:val="15"/>
              </w:rPr>
              <w:t xml:space="preserve">Identical results fresh, after another run and in a batch</w:t>
            </w:r>
          </w:p>
        </w:tc>
      </w:tr>
      <w:tr>
        <w:trPr>
          <w:cantSplit/>
        </w:trPr>
        <w:tc>
          <w:tcPr>
            <w:tcW w:type="dxa" w:w="2600"/>
            <w:vAlign w:val="center"/>
          </w:tcPr>
          <w:p>
            <w:pPr>
              <w:spacing w:after="0" w:before="0" w:line="240" w:lineRule="auto"/>
            </w:pPr>
            <w:r>
              <w:rPr>
                <w:b/>
                <w:color w:val="000000"/>
                <w:sz w:val="15"/>
              </w:rPr>
              <w:t xml:space="preserve">P1 Accruals keyed on task wording; month-end invented benefits and approvals; carry-over matched receipts</w:t>
            </w:r>
          </w:p>
        </w:tc>
        <w:tc>
          <w:tcPr>
            <w:tcW w:type="dxa" w:w="4700"/>
            <w:vAlign w:val="center"/>
          </w:tcPr>
          <w:p>
            <w:pPr>
              <w:spacing w:after="0" w:before="0" w:line="240" w:lineRule="auto"/>
            </w:pPr>
            <w:r>
              <w:rPr>
                <w:color w:val="000000"/>
                <w:sz w:val="15"/>
              </w:rPr>
              <w:t xml:space="preserve">Amounts keyed on stable item identifiers; benefits moved to an external-assumptions table; the ERP’s automatic accrual labelled as such; fraud losses only when a control fails; receipts stay unallocated until matched</w:t>
            </w:r>
          </w:p>
        </w:tc>
        <w:tc>
          <w:tcPr>
            <w:tcW w:type="dxa" w:w="2924"/>
            <w:vAlign w:val="center"/>
          </w:tcPr>
          <w:p>
            <w:pPr>
              <w:spacing w:after="0" w:before="0" w:line="240" w:lineRule="auto"/>
            </w:pPr>
            <w:r>
              <w:rPr>
                <w:color w:val="000000"/>
                <w:sz w:val="15"/>
              </w:rPr>
              <w:t xml:space="preserve">Every posting has a cause; no finance staff means no human journals</w:t>
            </w:r>
          </w:p>
        </w:tc>
      </w:tr>
      <w:tr>
        <w:trPr>
          <w:cantSplit/>
        </w:trPr>
        <w:tc>
          <w:tcPr>
            <w:tcW w:type="dxa" w:w="2600"/>
            <w:vAlign w:val="center"/>
          </w:tcPr>
          <w:p>
            <w:pPr>
              <w:spacing w:after="0" w:before="0" w:line="240" w:lineRule="auto"/>
            </w:pPr>
            <w:r>
              <w:rPr>
                <w:b/>
                <w:color w:val="000000"/>
                <w:sz w:val="15"/>
              </w:rPr>
              <w:t xml:space="preserve">P1 Missing completion was converted into a finish date</w:t>
            </w:r>
          </w:p>
        </w:tc>
        <w:tc>
          <w:tcPr>
            <w:tcW w:type="dxa" w:w="4700"/>
            <w:vAlign w:val="center"/>
          </w:tcPr>
          <w:p>
            <w:pPr>
              <w:spacing w:after="0" w:before="0" w:line="240" w:lineRule="auto"/>
            </w:pPr>
            <w:r>
              <w:rPr>
                <w:color w:val="000000"/>
                <w:sz w:val="15"/>
              </w:rPr>
              <w:t xml:space="preserve">Unfinished milestones are reported as not reached; analyses report completion rates and use only completed runs</w:t>
            </w:r>
          </w:p>
        </w:tc>
        <w:tc>
          <w:tcPr>
            <w:tcW w:type="dxa" w:w="2924"/>
            <w:vAlign w:val="center"/>
          </w:tcPr>
          <w:p>
            <w:pPr>
              <w:spacing w:after="0" w:before="0" w:line="240" w:lineRule="auto"/>
            </w:pPr>
            <w:r>
              <w:rPr>
                <w:color w:val="000000"/>
                <w:sz w:val="15"/>
              </w:rPr>
              <w:t xml:space="preserve">No CFO: the pack is reported as not issued</w:t>
            </w:r>
          </w:p>
        </w:tc>
      </w:tr>
      <w:tr>
        <w:trPr>
          <w:cantSplit/>
        </w:trPr>
        <w:tc>
          <w:tcPr>
            <w:tcW w:type="dxa" w:w="2600"/>
            <w:vAlign w:val="center"/>
          </w:tcPr>
          <w:p>
            <w:pPr>
              <w:spacing w:after="0" w:before="0" w:line="240" w:lineRule="auto"/>
            </w:pPr>
            <w:r>
              <w:rPr>
                <w:b/>
                <w:color w:val="000000"/>
                <w:sz w:val="15"/>
              </w:rPr>
              <w:t xml:space="preserve">P1 Random keys collided; the Latin hypercube lost strata</w:t>
            </w:r>
          </w:p>
        </w:tc>
        <w:tc>
          <w:tcPr>
            <w:tcW w:type="dxa" w:w="4700"/>
            <w:vAlign w:val="center"/>
          </w:tcPr>
          <w:p>
            <w:pPr>
              <w:spacing w:after="0" w:before="0" w:line="240" w:lineRule="auto"/>
            </w:pPr>
            <w:r>
              <w:rPr>
                <w:color w:val="000000"/>
                <w:sz w:val="15"/>
              </w:rPr>
              <w:t xml:space="preserve">Unique item identifiers; the experiment design is generated once from a fixed seed</w:t>
            </w:r>
          </w:p>
        </w:tc>
        <w:tc>
          <w:tcPr>
            <w:tcW w:type="dxa" w:w="2924"/>
            <w:vAlign w:val="center"/>
          </w:tcPr>
          <w:p>
            <w:pPr>
              <w:spacing w:after="0" w:before="0" w:line="240" w:lineRule="auto"/>
            </w:pPr>
            <w:r>
              <w:rPr>
                <w:color w:val="000000"/>
                <w:sz w:val="15"/>
              </w:rPr>
              <w:t xml:space="preserve">Every item has a unique identifier; every stratum used once</w:t>
            </w:r>
          </w:p>
        </w:tc>
      </w:tr>
      <w:tr>
        <w:trPr>
          <w:cantSplit/>
        </w:trPr>
        <w:tc>
          <w:tcPr>
            <w:tcW w:type="dxa" w:w="2600"/>
            <w:vAlign w:val="center"/>
          </w:tcPr>
          <w:p>
            <w:pPr>
              <w:spacing w:after="0" w:before="0" w:line="240" w:lineRule="auto"/>
            </w:pPr>
            <w:r>
              <w:rPr>
                <w:b/>
                <w:color w:val="000000"/>
                <w:sz w:val="15"/>
              </w:rPr>
              <w:t xml:space="preserve">P2 Acceptance rounding; arrival times depended on list position</w:t>
            </w:r>
          </w:p>
        </w:tc>
        <w:tc>
          <w:tcPr>
            <w:tcW w:type="dxa" w:w="4700"/>
            <w:vAlign w:val="center"/>
          </w:tcPr>
          <w:p>
            <w:pPr>
              <w:spacing w:after="0" w:before="0" w:line="240" w:lineRule="auto"/>
            </w:pPr>
            <w:r>
              <w:rPr>
                <w:color w:val="000000"/>
                <w:sz w:val="15"/>
              </w:rPr>
              <w:t xml:space="preserve">Acceptance spread exactly over a month’s items when variability is off; arrival times keyed to the item</w:t>
            </w:r>
          </w:p>
        </w:tc>
        <w:tc>
          <w:tcPr>
            <w:tcW w:type="dxa" w:w="2924"/>
            <w:vAlign w:val="center"/>
          </w:tcPr>
          <w:p>
            <w:pPr>
              <w:spacing w:after="0" w:before="0" w:line="240" w:lineRule="auto"/>
            </w:pPr>
            <w:r>
              <w:rPr>
                <w:color w:val="000000"/>
                <w:sz w:val="15"/>
              </w:rPr>
              <w:t xml:space="preserve">Both models see the same random month</w:t>
            </w:r>
          </w:p>
        </w:tc>
      </w:tr>
    </w:tbl>
    <w:p>
      <w:r>
        <w:rPr>
          <w:sz w:val="17"/>
        </w:rPr>
        <w:t xml:space="preserve">Not yet addressed: separate effort for repeated visits to the same person within one task (effort is per role per task); a configuration fingerprint on stored results; and calibration on real data. The audit’s own evidence package was not available to run against the rebuilt engine; doing so is the recommended next step.</w:t>
      </w:r>
    </w:p>
    <w:p>
      <w:pPr>
        <w:pStyle w:val="Title"/>
        <w:pageBreakBefore/>
      </w:pPr>
      <w:r>
        <w:t>CFO office process guide</w:t>
      </w:r>
    </w:p>
    <w:p>
      <w:pPr>
        <w:pStyle w:val="Heading1"/>
      </w:pPr>
      <w:r>
        <w:t xml:space="preserve">Response to the comprehensive audit, version 2 (18 October 2026)</w:t>
      </w:r>
    </w:p>
    <w:p>
      <w:pPr>
        <w:spacing w:after="100"/>
      </w:pPr>
      <w:r>
        <w:t xml:space="preserve">The comprehensive audit reviewed version 20 against the SOPs. Its 25 defects, three model limitations and one validation gap were each addressed as below; each implemented fix has an acceptance gate in the model checks. Findings already fixed after the SOP conformity review (F01, F02, F05, F07, F08 and most of F03 and F04) are marked accordingly.</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1500"/>
        <w:gridCol w:w="6100"/>
        <w:gridCol w:w="2624"/>
      </w:tblGrid>
      <w:tr>
        <w:trPr>
          <w:tblHeader/>
        </w:trPr>
        <w:tc>
          <w:tcPr>
            <w:tcW w:type="dxa" w:w="1500"/>
            <w:shd w:val="clear" w:color="auto" w:fill="DCE6F1"/>
            <w:vAlign w:val="center"/>
          </w:tcPr>
          <w:p>
            <w:pPr>
              <w:spacing w:after="0" w:before="0" w:line="240" w:lineRule="auto"/>
            </w:pPr>
            <w:r>
              <w:rPr>
                <w:b/>
                <w:color w:val="000000"/>
                <w:sz w:val="15"/>
              </w:rPr>
              <w:t xml:space="preserve">Finding</w:t>
            </w:r>
          </w:p>
        </w:tc>
        <w:tc>
          <w:tcPr>
            <w:tcW w:type="dxa" w:w="6100"/>
            <w:shd w:val="clear" w:color="auto" w:fill="DCE6F1"/>
            <w:vAlign w:val="center"/>
          </w:tcPr>
          <w:p>
            <w:pPr>
              <w:spacing w:after="0" w:before="0" w:line="240" w:lineRule="auto"/>
            </w:pPr>
            <w:r>
              <w:rPr>
                <w:b/>
                <w:color w:val="000000"/>
                <w:sz w:val="15"/>
              </w:rPr>
              <w:t xml:space="preserve">What was changed</w:t>
            </w:r>
          </w:p>
        </w:tc>
        <w:tc>
          <w:tcPr>
            <w:tcW w:type="dxa" w:w="2624"/>
            <w:shd w:val="clear" w:color="auto" w:fill="DCE6F1"/>
            <w:vAlign w:val="center"/>
          </w:tcPr>
          <w:p>
            <w:pPr>
              <w:spacing w:after="0" w:before="0" w:line="240" w:lineRule="auto"/>
            </w:pPr>
            <w:r>
              <w:rPr>
                <w:b/>
                <w:color w:val="000000"/>
                <w:sz w:val="15"/>
              </w:rPr>
              <w:t xml:space="preserve">Status</w:t>
            </w:r>
          </w:p>
        </w:tc>
      </w:tr>
      <w:tr>
        <w:trPr>
          <w:cantSplit/>
        </w:trPr>
        <w:tc>
          <w:tcPr>
            <w:tcW w:type="dxa" w:w="1500"/>
            <w:vAlign w:val="center"/>
          </w:tcPr>
          <w:p>
            <w:pPr>
              <w:spacing w:after="0" w:before="0" w:line="240" w:lineRule="auto"/>
            </w:pPr>
            <w:r>
              <w:rPr>
                <w:b/>
                <w:color w:val="000000"/>
                <w:sz w:val="15"/>
              </w:rPr>
              <w:t xml:space="preserve">F01, F02, F05, F07, F08</w:t>
            </w:r>
          </w:p>
        </w:tc>
        <w:tc>
          <w:tcPr>
            <w:tcW w:type="dxa" w:w="6100"/>
            <w:vAlign w:val="center"/>
          </w:tcPr>
          <w:p>
            <w:pPr>
              <w:spacing w:after="0" w:before="0" w:line="240" w:lineRule="auto"/>
            </w:pPr>
            <w:r>
              <w:rPr>
                <w:color w:val="000000"/>
                <w:sz w:val="15"/>
              </w:rPr>
              <w:t xml:space="preserve">Journal approval gated per journal; budget load after board approval with FC sign-off; final trial balance check after all postings; larger credit notes to the FC; weekly feed checks</w:t>
            </w:r>
          </w:p>
        </w:tc>
        <w:tc>
          <w:tcPr>
            <w:tcW w:type="dxa" w:w="2624"/>
            <w:vAlign w:val="center"/>
          </w:tcPr>
          <w:p>
            <w:pPr>
              <w:spacing w:after="0" w:before="0" w:line="240" w:lineRule="auto"/>
            </w:pPr>
            <w:r>
              <w:rPr>
                <w:color w:val="000000"/>
                <w:sz w:val="15"/>
              </w:rPr>
              <w:t xml:space="preserve">Fixed earlier; gates pass</w:t>
            </w:r>
          </w:p>
        </w:tc>
      </w:tr>
      <w:tr>
        <w:trPr>
          <w:cantSplit/>
        </w:trPr>
        <w:tc>
          <w:tcPr>
            <w:tcW w:type="dxa" w:w="1500"/>
            <w:vAlign w:val="center"/>
          </w:tcPr>
          <w:p>
            <w:pPr>
              <w:spacing w:after="0" w:before="0" w:line="240" w:lineRule="auto"/>
            </w:pPr>
            <w:r>
              <w:rPr>
                <w:b/>
                <w:color w:val="000000"/>
                <w:sz w:val="15"/>
              </w:rPr>
              <w:t xml:space="preserve">F03 Tax dates</w:t>
            </w:r>
          </w:p>
        </w:tc>
        <w:tc>
          <w:tcPr>
            <w:tcW w:type="dxa" w:w="6100"/>
            <w:vAlign w:val="center"/>
          </w:tcPr>
          <w:p>
            <w:pPr>
              <w:spacing w:after="0" w:before="0" w:line="240" w:lineRule="auto"/>
            </w:pPr>
            <w:r>
              <w:rPr>
                <w:color w:val="000000"/>
                <w:sz w:val="15"/>
              </w:rPr>
              <w:t xml:space="preserve">Every obligation carries its calendar due date; P11Ds prepared in June for 6 July; corporation tax paid in month nine; PAYE and pensions released on day 9; deadline work has priority</w:t>
            </w:r>
          </w:p>
        </w:tc>
        <w:tc>
          <w:tcPr>
            <w:tcW w:type="dxa" w:w="2624"/>
            <w:vAlign w:val="center"/>
          </w:tcPr>
          <w:p>
            <w:pPr>
              <w:spacing w:after="0" w:before="0" w:line="240" w:lineRule="auto"/>
            </w:pPr>
            <w:r>
              <w:rPr>
                <w:color w:val="000000"/>
                <w:sz w:val="15"/>
              </w:rPr>
              <w:t xml:space="preserve">Fixed; all deadlines in the year met</w:t>
            </w:r>
          </w:p>
        </w:tc>
      </w:tr>
      <w:tr>
        <w:trPr>
          <w:cantSplit/>
        </w:trPr>
        <w:tc>
          <w:tcPr>
            <w:tcW w:type="dxa" w:w="1500"/>
            <w:vAlign w:val="center"/>
          </w:tcPr>
          <w:p>
            <w:pPr>
              <w:spacing w:after="0" w:before="0" w:line="240" w:lineRule="auto"/>
            </w:pPr>
            <w:r>
              <w:rPr>
                <w:b/>
                <w:color w:val="000000"/>
                <w:sz w:val="15"/>
              </w:rPr>
              <w:t xml:space="preserve">F04 VAT payment</w:t>
            </w:r>
          </w:p>
        </w:tc>
        <w:tc>
          <w:tcPr>
            <w:tcW w:type="dxa" w:w="6100"/>
            <w:vAlign w:val="center"/>
          </w:tcPr>
          <w:p>
            <w:pPr>
              <w:spacing w:after="0" w:before="0" w:line="240" w:lineRule="auto"/>
            </w:pPr>
            <w:r>
              <w:rPr>
                <w:color w:val="000000"/>
                <w:sz w:val="15"/>
              </w:rPr>
              <w:t xml:space="preserve">Payment after submission, approved by the FC and released by the CFO, due date measured; VAT cash stated as excluded from the ledger</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F06 Reimbursement</w:t>
            </w:r>
          </w:p>
        </w:tc>
        <w:tc>
          <w:tcPr>
            <w:tcW w:type="dxa" w:w="6100"/>
            <w:vAlign w:val="center"/>
          </w:tcPr>
          <w:p>
            <w:pPr>
              <w:spacing w:after="0" w:before="0" w:line="240" w:lineRule="auto"/>
            </w:pPr>
            <w:r>
              <w:rPr>
                <w:color w:val="000000"/>
                <w:sz w:val="15"/>
              </w:rPr>
              <w:t xml:space="preserve">Paid only in the approved weekly payment run, after the week’s claims are checked</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F09, F10, F11 Approvers</w:t>
            </w:r>
          </w:p>
        </w:tc>
        <w:tc>
          <w:tcPr>
            <w:tcW w:type="dxa" w:w="6100"/>
            <w:vAlign w:val="center"/>
          </w:tcPr>
          <w:p>
            <w:pPr>
              <w:spacing w:after="0" w:before="0" w:line="240" w:lineRule="auto"/>
            </w:pPr>
            <w:r>
              <w:rPr>
                <w:color w:val="000000"/>
                <w:sz w:val="15"/>
              </w:rPr>
              <w:t xml:space="preserve">Cash forecast reviewed and decided by the FC; bank account changes need a board resolution; insurance renewal visits the CFO; a gate checks every allocated role is visited</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F12, F13 Scenario files</w:t>
            </w:r>
          </w:p>
        </w:tc>
        <w:tc>
          <w:tcPr>
            <w:tcW w:type="dxa" w:w="6100"/>
            <w:vAlign w:val="center"/>
          </w:tcPr>
          <w:p>
            <w:pPr>
              <w:spacing w:after="0" w:before="0" w:line="240" w:lineRule="auto"/>
            </w:pPr>
            <w:r>
              <w:rPr>
                <w:color w:val="000000"/>
                <w:sz w:val="15"/>
              </w:rPr>
              <w:t xml:space="preserve">Files save the run selection (model, month, options, variability); loading validates the whole file first and changes nothing if it is invalid, restoring settings if applying fails</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F14 Task catalogue</w:t>
            </w:r>
          </w:p>
        </w:tc>
        <w:tc>
          <w:tcPr>
            <w:tcW w:type="dxa" w:w="6100"/>
            <w:vAlign w:val="center"/>
          </w:tcPr>
          <w:p>
            <w:pPr>
              <w:spacing w:after="0" w:before="0" w:line="240" w:lineRule="auto"/>
            </w:pPr>
            <w:r>
              <w:rPr>
                <w:color w:val="000000"/>
                <w:sz w:val="15"/>
              </w:rPr>
              <w:t xml:space="preserve">Built across all 12 months with every conditional task, showing which months each runs; walkthroughs use the same catalogue</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F15 Schedules</w:t>
            </w:r>
          </w:p>
        </w:tc>
        <w:tc>
          <w:tcPr>
            <w:tcW w:type="dxa" w:w="6100"/>
            <w:vAlign w:val="center"/>
          </w:tcPr>
          <w:p>
            <w:pPr>
              <w:spacing w:after="0" w:before="0" w:line="240" w:lineRule="auto"/>
            </w:pPr>
            <w:r>
              <w:rPr>
                <w:color w:val="000000"/>
                <w:sz w:val="15"/>
              </w:rPr>
              <w:t xml:space="preserve">Prepayments, deferred and accrued income and manual accruals released or reversed each month; constant schedules give constant balances</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F16 Accounting effects</w:t>
            </w:r>
          </w:p>
        </w:tc>
        <w:tc>
          <w:tcPr>
            <w:tcW w:type="dxa" w:w="6100"/>
            <w:vAlign w:val="center"/>
          </w:tcPr>
          <w:p>
            <w:pPr>
              <w:spacing w:after="0" w:before="0" w:line="240" w:lineRule="auto"/>
            </w:pPr>
            <w:r>
              <w:rPr>
                <w:color w:val="000000"/>
                <w:sz w:val="15"/>
              </w:rPr>
              <w:t xml:space="preserve">Postings added for supplier credit notes, refunds, write-offs, reimbursements, duplicate recoveries and holiday accruals; a declaration lists what posts, what is workload only and what is excluded</w:t>
            </w:r>
          </w:p>
        </w:tc>
        <w:tc>
          <w:tcPr>
            <w:tcW w:type="dxa" w:w="2624"/>
            <w:vAlign w:val="center"/>
          </w:tcPr>
          <w:p>
            <w:pPr>
              <w:spacing w:after="0" w:before="0" w:line="240" w:lineRule="auto"/>
            </w:pPr>
            <w:r>
              <w:rPr>
                <w:color w:val="000000"/>
                <w:sz w:val="15"/>
              </w:rPr>
              <w:t xml:space="preserve">Partly fixed; ledger remains an illustrative subset</w:t>
            </w:r>
          </w:p>
        </w:tc>
      </w:tr>
      <w:tr>
        <w:trPr>
          <w:cantSplit/>
        </w:trPr>
        <w:tc>
          <w:tcPr>
            <w:tcW w:type="dxa" w:w="1500"/>
            <w:vAlign w:val="center"/>
          </w:tcPr>
          <w:p>
            <w:pPr>
              <w:spacing w:after="0" w:before="0" w:line="240" w:lineRule="auto"/>
            </w:pPr>
            <w:r>
              <w:rPr>
                <w:b/>
                <w:color w:val="000000"/>
                <w:sz w:val="15"/>
              </w:rPr>
              <w:t xml:space="preserve">F17 Export</w:t>
            </w:r>
          </w:p>
        </w:tc>
        <w:tc>
          <w:tcPr>
            <w:tcW w:type="dxa" w:w="6100"/>
            <w:vAlign w:val="center"/>
          </w:tcPr>
          <w:p>
            <w:pPr>
              <w:spacing w:after="0" w:before="0" w:line="240" w:lineRule="auto"/>
            </w:pPr>
            <w:r>
              <w:rPr>
                <w:color w:val="000000"/>
                <w:sz w:val="15"/>
              </w:rPr>
              <w:t xml:space="preserve">Items that never started are exported with their state and the prerequisite they wait for</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F18 Abstractions</w:t>
            </w:r>
          </w:p>
        </w:tc>
        <w:tc>
          <w:tcPr>
            <w:tcW w:type="dxa" w:w="6100"/>
            <w:vAlign w:val="center"/>
          </w:tcPr>
          <w:p>
            <w:pPr>
              <w:spacing w:after="0" w:before="0" w:line="240" w:lineRule="auto"/>
            </w:pPr>
            <w:r>
              <w:rPr>
                <w:color w:val="000000"/>
                <w:sz w:val="15"/>
              </w:rPr>
              <w:t xml:space="preserve">Stated in the model checks: named individuals, document contents, period locks and real submissions are not tested</w:t>
            </w:r>
          </w:p>
        </w:tc>
        <w:tc>
          <w:tcPr>
            <w:tcW w:type="dxa" w:w="2624"/>
            <w:vAlign w:val="center"/>
          </w:tcPr>
          <w:p>
            <w:pPr>
              <w:spacing w:after="0" w:before="0" w:line="240" w:lineRule="auto"/>
            </w:pPr>
            <w:r>
              <w:rPr>
                <w:color w:val="000000"/>
                <w:sz w:val="15"/>
              </w:rPr>
              <w:t xml:space="preserve">Limitation, labelled</w:t>
            </w:r>
          </w:p>
        </w:tc>
      </w:tr>
      <w:tr>
        <w:trPr>
          <w:cantSplit/>
        </w:trPr>
        <w:tc>
          <w:tcPr>
            <w:tcW w:type="dxa" w:w="1500"/>
            <w:vAlign w:val="center"/>
          </w:tcPr>
          <w:p>
            <w:pPr>
              <w:spacing w:after="0" w:before="0" w:line="240" w:lineRule="auto"/>
            </w:pPr>
            <w:r>
              <w:rPr>
                <w:b/>
                <w:color w:val="000000"/>
                <w:sz w:val="15"/>
              </w:rPr>
              <w:t xml:space="preserve">F19 Group time and totals</w:t>
            </w:r>
          </w:p>
        </w:tc>
        <w:tc>
          <w:tcPr>
            <w:tcW w:type="dxa" w:w="6100"/>
            <w:vAlign w:val="center"/>
          </w:tcPr>
          <w:p>
            <w:pPr>
              <w:spacing w:after="0" w:before="0" w:line="240" w:lineRule="auto"/>
            </w:pPr>
            <w:r>
              <w:rPr>
                <w:color w:val="000000"/>
                <w:sz w:val="15"/>
              </w:rPr>
              <w:t xml:space="preserve">Meetings and training are simultaneous per-person items; five-role totals labelled; whole-office totals added</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F20 Calibration</w:t>
            </w:r>
          </w:p>
        </w:tc>
        <w:tc>
          <w:tcPr>
            <w:tcW w:type="dxa" w:w="6100"/>
            <w:vAlign w:val="center"/>
          </w:tcPr>
          <w:p>
            <w:pPr>
              <w:spacing w:after="0" w:before="0" w:line="240" w:lineRule="auto"/>
            </w:pPr>
            <w:r>
              <w:rPr>
                <w:color w:val="000000"/>
                <w:sz w:val="15"/>
              </w:rPr>
              <w:t xml:space="preserve">Many-runs view states completion denominators and that ranges are not forecast accuracy; calibration still needs time logs and actual close dates</w:t>
            </w:r>
          </w:p>
        </w:tc>
        <w:tc>
          <w:tcPr>
            <w:tcW w:type="dxa" w:w="2624"/>
            <w:vAlign w:val="center"/>
          </w:tcPr>
          <w:p>
            <w:pPr>
              <w:spacing w:after="0" w:before="0" w:line="240" w:lineRule="auto"/>
            </w:pPr>
            <w:r>
              <w:rPr>
                <w:color w:val="000000"/>
                <w:sz w:val="15"/>
              </w:rPr>
              <w:t xml:space="preserve">Validation gap, open</w:t>
            </w:r>
          </w:p>
        </w:tc>
      </w:tr>
      <w:tr>
        <w:trPr>
          <w:cantSplit/>
        </w:trPr>
        <w:tc>
          <w:tcPr>
            <w:tcW w:type="dxa" w:w="1500"/>
            <w:vAlign w:val="center"/>
          </w:tcPr>
          <w:p>
            <w:pPr>
              <w:spacing w:after="0" w:before="0" w:line="240" w:lineRule="auto"/>
            </w:pPr>
            <w:r>
              <w:rPr>
                <w:b/>
                <w:color w:val="000000"/>
                <w:sz w:val="15"/>
              </w:rPr>
              <w:t xml:space="preserve">F21 Statutory accounts</w:t>
            </w:r>
          </w:p>
        </w:tc>
        <w:tc>
          <w:tcPr>
            <w:tcW w:type="dxa" w:w="6100"/>
            <w:vAlign w:val="center"/>
          </w:tcPr>
          <w:p>
            <w:pPr>
              <w:spacing w:after="0" w:before="0" w:line="240" w:lineRule="auto"/>
            </w:pPr>
            <w:r>
              <w:rPr>
                <w:color w:val="000000"/>
                <w:sz w:val="15"/>
              </w:rPr>
              <w:t xml:space="preserve">Board approval waits for the draft accounts, judgements, going concern, later events and audit fieldwork; filing waits for approval; single-month runs list assumed earlier steps</w:t>
            </w:r>
          </w:p>
        </w:tc>
        <w:tc>
          <w:tcPr>
            <w:tcW w:type="dxa" w:w="2624"/>
            <w:vAlign w:val="center"/>
          </w:tcPr>
          <w:p>
            <w:pPr>
              <w:spacing w:after="0" w:before="0" w:line="240" w:lineRule="auto"/>
            </w:pPr>
            <w:r>
              <w:rPr>
                <w:color w:val="000000"/>
                <w:sz w:val="15"/>
              </w:rPr>
              <w:t xml:space="preserve">Fixed (re-approval after later changes not modelled)</w:t>
            </w:r>
          </w:p>
        </w:tc>
      </w:tr>
      <w:tr>
        <w:trPr>
          <w:cantSplit/>
        </w:trPr>
        <w:tc>
          <w:tcPr>
            <w:tcW w:type="dxa" w:w="1500"/>
            <w:vAlign w:val="center"/>
          </w:tcPr>
          <w:p>
            <w:pPr>
              <w:spacing w:after="0" w:before="0" w:line="240" w:lineRule="auto"/>
            </w:pPr>
            <w:r>
              <w:rPr>
                <w:b/>
                <w:color w:val="000000"/>
                <w:sz w:val="15"/>
              </w:rPr>
              <w:t xml:space="preserve">F22 Payroll inputs</w:t>
            </w:r>
          </w:p>
        </w:tc>
        <w:tc>
          <w:tcPr>
            <w:tcW w:type="dxa" w:w="6100"/>
            <w:vAlign w:val="center"/>
          </w:tcPr>
          <w:p>
            <w:pPr>
              <w:spacing w:after="0" w:before="0" w:line="240" w:lineRule="auto"/>
            </w:pPr>
            <w:r>
              <w:rPr>
                <w:color w:val="000000"/>
                <w:sz w:val="15"/>
              </w:rPr>
              <w:t xml:space="preserve">Payroll goes to the bureau only after line-manager-approved timesheets, CFO-approved commission and bank changes verified before the cut-off</w:t>
            </w:r>
          </w:p>
        </w:tc>
        <w:tc>
          <w:tcPr>
            <w:tcW w:type="dxa" w:w="2624"/>
            <w:vAlign w:val="center"/>
          </w:tcPr>
          <w:p>
            <w:pPr>
              <w:spacing w:after="0" w:before="0" w:line="240" w:lineRule="auto"/>
            </w:pPr>
            <w:r>
              <w:rPr>
                <w:color w:val="000000"/>
                <w:sz w:val="15"/>
              </w:rPr>
              <w:t xml:space="preserve">Fixed (re-approval after late changes not modelled)</w:t>
            </w:r>
          </w:p>
        </w:tc>
      </w:tr>
      <w:tr>
        <w:trPr>
          <w:cantSplit/>
        </w:trPr>
        <w:tc>
          <w:tcPr>
            <w:tcW w:type="dxa" w:w="1500"/>
            <w:vAlign w:val="center"/>
          </w:tcPr>
          <w:p>
            <w:pPr>
              <w:spacing w:after="0" w:before="0" w:line="240" w:lineRule="auto"/>
            </w:pPr>
            <w:r>
              <w:rPr>
                <w:b/>
                <w:color w:val="000000"/>
                <w:sz w:val="15"/>
              </w:rPr>
              <w:t xml:space="preserve">F23 Returned payments</w:t>
            </w:r>
          </w:p>
        </w:tc>
        <w:tc>
          <w:tcPr>
            <w:tcW w:type="dxa" w:w="6100"/>
            <w:vAlign w:val="center"/>
          </w:tcPr>
          <w:p>
            <w:pPr>
              <w:spacing w:after="0" w:before="0" w:line="240" w:lineRule="auto"/>
            </w:pPr>
            <w:r>
              <w:rPr>
                <w:color w:val="000000"/>
                <w:sz w:val="15"/>
              </w:rPr>
              <w:t xml:space="preserve">Investigation separated from a replacement payment that needs call-back and both signatories</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F24 Comparisons</w:t>
            </w:r>
          </w:p>
        </w:tc>
        <w:tc>
          <w:tcPr>
            <w:tcW w:type="dxa" w:w="6100"/>
            <w:vAlign w:val="center"/>
          </w:tcPr>
          <w:p>
            <w:pPr>
              <w:spacing w:after="0" w:before="0" w:line="240" w:lineRule="auto"/>
            </w:pPr>
            <w:r>
              <w:rPr>
                <w:color w:val="000000"/>
                <w:sz w:val="15"/>
              </w:rPr>
              <w:t xml:space="preserve">Run provenance recorded; incompatible runs are not compared</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F25 Effort labels</w:t>
            </w:r>
          </w:p>
        </w:tc>
        <w:tc>
          <w:tcPr>
            <w:tcW w:type="dxa" w:w="6100"/>
            <w:vAlign w:val="center"/>
          </w:tcPr>
          <w:p>
            <w:pPr>
              <w:spacing w:after="0" w:before="0" w:line="240" w:lineRule="auto"/>
            </w:pPr>
            <w:r>
              <w:rPr>
                <w:color w:val="000000"/>
                <w:sz w:val="15"/>
              </w:rPr>
              <w:t xml:space="preserve">Standard effort and service requested (with rework and variation) shown separately; savings use service requested</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F26, F27, F28 Inputs</w:t>
            </w:r>
          </w:p>
        </w:tc>
        <w:tc>
          <w:tcPr>
            <w:tcW w:type="dxa" w:w="6100"/>
            <w:vAlign w:val="center"/>
          </w:tcPr>
          <w:p>
            <w:pPr>
              <w:spacing w:after="0" w:before="0" w:line="240" w:lineRule="auto"/>
            </w:pPr>
            <w:r>
              <w:rPr>
                <w:color w:val="000000"/>
                <w:sz w:val="15"/>
              </w:rPr>
              <w:t xml:space="preserve">Agent time variation uses its own setting; zero seasonality and weekday weights respected (an all-zero weekday set is rejected); collections conserve the monthly total</w:t>
            </w:r>
          </w:p>
        </w:tc>
        <w:tc>
          <w:tcPr>
            <w:tcW w:type="dxa" w:w="2624"/>
            <w:vAlign w:val="center"/>
          </w:tcPr>
          <w:p>
            <w:pPr>
              <w:spacing w:after="0" w:before="0" w:line="240" w:lineRule="auto"/>
            </w:pPr>
            <w:r>
              <w:rPr>
                <w:color w:val="000000"/>
                <w:sz w:val="15"/>
              </w:rPr>
              <w:t xml:space="preserve">Fixed</w:t>
            </w:r>
          </w:p>
        </w:tc>
      </w:tr>
      <w:tr>
        <w:trPr>
          <w:cantSplit/>
        </w:trPr>
        <w:tc>
          <w:tcPr>
            <w:tcW w:type="dxa" w:w="1500"/>
            <w:vAlign w:val="center"/>
          </w:tcPr>
          <w:p>
            <w:pPr>
              <w:spacing w:after="0" w:before="0" w:line="240" w:lineRule="auto"/>
            </w:pPr>
            <w:r>
              <w:rPr>
                <w:b/>
                <w:color w:val="000000"/>
                <w:sz w:val="15"/>
              </w:rPr>
              <w:t xml:space="preserve">F29 Zero-time systems</w:t>
            </w:r>
          </w:p>
        </w:tc>
        <w:tc>
          <w:tcPr>
            <w:tcW w:type="dxa" w:w="6100"/>
            <w:vAlign w:val="center"/>
          </w:tcPr>
          <w:p>
            <w:pPr>
              <w:spacing w:after="0" w:before="0" w:line="240" w:lineRule="auto"/>
            </w:pPr>
            <w:r>
              <w:rPr>
                <w:color w:val="000000"/>
                <w:sz w:val="15"/>
              </w:rPr>
              <w:t xml:space="preserve">Every system stage waits for an available system, even with no processing time</w:t>
            </w:r>
          </w:p>
        </w:tc>
        <w:tc>
          <w:tcPr>
            <w:tcW w:type="dxa" w:w="2624"/>
            <w:vAlign w:val="center"/>
          </w:tcPr>
          <w:p>
            <w:pPr>
              <w:spacing w:after="0" w:before="0" w:line="240" w:lineRule="auto"/>
            </w:pPr>
            <w:r>
              <w:rPr>
                <w:color w:val="000000"/>
                <w:sz w:val="15"/>
              </w:rPr>
              <w:t xml:space="preserve">Fixed</w:t>
            </w:r>
          </w:p>
        </w:tc>
      </w:tr>
    </w:tbl>
    <w:p>
      <w:r>
        <w:rPr>
          <w:sz w:val="17"/>
        </w:rPr>
        <w:t xml:space="preserve">Two engine corrections came out of this work. The event comparator mis-ordered events at the same moment, so results could depend on the run length; it is fixed and the month-boundary gate passes. And a person who started a long task kept it until finished, which let urgent approvals wait for days; people now work in sessions of at most two hours.</w:t>
      </w:r>
    </w:p>
    <w:p>
      <w:pPr>
        <w:pStyle w:val="Title"/>
        <w:pageBreakBefore/>
      </w:pPr>
      <w:r>
        <w:t>CFO office process guide</w:t>
      </w:r>
    </w:p>
    <w:p>
      <w:pPr>
        <w:pStyle w:val="Heading1"/>
      </w:pPr>
      <w:r>
        <w:t xml:space="preserve">Appendix: task inventory</w:t>
      </w:r>
    </w:p>
    <w:p>
      <w:pPr>
        <w:spacing w:after="100"/>
      </w:pPr>
      <w:r>
        <w:t xml:space="preserve">Every task the simulation models (245, including those added from the activity review and the CFO, FP&amp;A and Financial Controller review, and those switched off by default where they may not apply): who does it today, how often, minutes per item today and with agents, the playbook used and the rollout phase in which agents take it on. Tasks marked No agent stay with people in every phase, either because the workflow handles them without an agent or because they need employee-level pay data or human judgement. Minutes are placeholders to be replaced from a short time-logging exercise with the team.</w:t>
      </w:r>
    </w:p>
    <w:tbl>
      <w:tblPr>
        <w:tblW w:type="dxa" w:w="10224"/>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70" w:type="dxa"/>
          <w:left w:w="100" w:type="dxa"/>
          <w:bottom w:w="70" w:type="dxa"/>
          <w:right w:w="100" w:type="dxa"/>
        </w:tblCellMar>
        <w:tblLook w:val="04A0" w:firstRow="1" w:lastRow="0" w:firstColumn="1" w:lastColumn="0" w:noHBand="0" w:noVBand="1"/>
      </w:tblPr>
      <w:tblGrid>
        <w:gridCol w:w="3300"/>
        <w:gridCol w:w="1600"/>
        <w:gridCol w:w="1450"/>
        <w:gridCol w:w="800"/>
        <w:gridCol w:w="950"/>
        <w:gridCol w:w="1050"/>
        <w:gridCol w:w="1074"/>
      </w:tblGrid>
      <w:tr>
        <w:trPr>
          <w:tblHeader/>
        </w:trPr>
        <w:tc>
          <w:tcPr>
            <w:tcW w:type="dxa" w:w="3300"/>
            <w:shd w:val="clear" w:color="auto" w:fill="DCE6F1"/>
            <w:vAlign w:val="center"/>
          </w:tcPr>
          <w:p>
            <w:pPr>
              <w:spacing w:after="0" w:before="0" w:line="240" w:lineRule="auto"/>
            </w:pPr>
            <w:r>
              <w:rPr>
                <w:b/>
                <w:color w:val="000000"/>
                <w:sz w:val="16"/>
              </w:rPr>
              <w:t xml:space="preserve">Task</w:t>
            </w:r>
          </w:p>
        </w:tc>
        <w:tc>
          <w:tcPr>
            <w:tcW w:type="dxa" w:w="1600"/>
            <w:shd w:val="clear" w:color="auto" w:fill="DCE6F1"/>
            <w:vAlign w:val="center"/>
          </w:tcPr>
          <w:p>
            <w:pPr>
              <w:spacing w:after="0" w:before="0" w:line="240" w:lineRule="auto"/>
            </w:pPr>
            <w:r>
              <w:rPr>
                <w:b/>
                <w:color w:val="000000"/>
                <w:sz w:val="16"/>
              </w:rPr>
              <w:t xml:space="preserve">Who today</w:t>
            </w:r>
          </w:p>
        </w:tc>
        <w:tc>
          <w:tcPr>
            <w:tcW w:type="dxa" w:w="1450"/>
            <w:shd w:val="clear" w:color="auto" w:fill="DCE6F1"/>
            <w:vAlign w:val="center"/>
          </w:tcPr>
          <w:p>
            <w:pPr>
              <w:spacing w:after="0" w:before="0" w:line="240" w:lineRule="auto"/>
            </w:pPr>
            <w:r>
              <w:rPr>
                <w:b/>
                <w:color w:val="000000"/>
                <w:sz w:val="16"/>
              </w:rPr>
              <w:t xml:space="preserve">How often</w:t>
            </w:r>
          </w:p>
        </w:tc>
        <w:tc>
          <w:tcPr>
            <w:tcW w:type="dxa" w:w="800"/>
            <w:shd w:val="clear" w:color="auto" w:fill="DCE6F1"/>
            <w:vAlign w:val="center"/>
          </w:tcPr>
          <w:p>
            <w:pPr>
              <w:spacing w:after="0" w:before="0" w:line="240" w:lineRule="auto"/>
            </w:pPr>
            <w:r>
              <w:rPr>
                <w:b/>
                <w:color w:val="000000"/>
                <w:sz w:val="16"/>
              </w:rPr>
              <w:t xml:space="preserve">Today (min)</w:t>
            </w:r>
          </w:p>
        </w:tc>
        <w:tc>
          <w:tcPr>
            <w:tcW w:type="dxa" w:w="950"/>
            <w:shd w:val="clear" w:color="auto" w:fill="DCE6F1"/>
            <w:vAlign w:val="center"/>
          </w:tcPr>
          <w:p>
            <w:pPr>
              <w:spacing w:after="0" w:before="0" w:line="240" w:lineRule="auto"/>
            </w:pPr>
            <w:r>
              <w:rPr>
                <w:b/>
                <w:color w:val="000000"/>
                <w:sz w:val="16"/>
              </w:rPr>
              <w:t xml:space="preserve">With agents (min)</w:t>
            </w:r>
          </w:p>
        </w:tc>
        <w:tc>
          <w:tcPr>
            <w:tcW w:type="dxa" w:w="1050"/>
            <w:shd w:val="clear" w:color="auto" w:fill="DCE6F1"/>
            <w:vAlign w:val="center"/>
          </w:tcPr>
          <w:p>
            <w:pPr>
              <w:spacing w:after="0" w:before="0" w:line="240" w:lineRule="auto"/>
            </w:pPr>
            <w:r>
              <w:rPr>
                <w:b/>
                <w:color w:val="000000"/>
                <w:sz w:val="16"/>
              </w:rPr>
              <w:t xml:space="preserve">SOP / playbook</w:t>
            </w:r>
          </w:p>
        </w:tc>
        <w:tc>
          <w:tcPr>
            <w:tcW w:type="dxa" w:w="1074"/>
            <w:shd w:val="clear" w:color="auto" w:fill="DCE6F1"/>
            <w:vAlign w:val="center"/>
          </w:tcPr>
          <w:p>
            <w:pPr>
              <w:spacing w:after="0" w:before="0" w:line="240" w:lineRule="auto"/>
            </w:pPr>
            <w:r>
              <w:rPr>
                <w:b/>
                <w:color w:val="000000"/>
                <w:sz w:val="16"/>
              </w:rPr>
              <w:t xml:space="preserve">Phase</w:t>
            </w:r>
          </w:p>
        </w:tc>
      </w:tr>
      <w:tr>
        <w:trPr>
          <w:cantSplit/>
        </w:trPr>
        <w:tc>
          <w:tcPr>
            <w:tcW w:type="dxa" w:w="3300"/>
            <w:vAlign w:val="center"/>
          </w:tcPr>
          <w:p>
            <w:pPr>
              <w:spacing w:after="0" w:before="0" w:line="240" w:lineRule="auto"/>
            </w:pPr>
            <w:r>
              <w:rPr>
                <w:b/>
                <w:color w:val="000000"/>
                <w:sz w:val="16"/>
              </w:rPr>
              <w:t xml:space="preserve">Key an invoice the OCR could not read</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3</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FIN-03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Supplier invoice exception (fix today; review proposal with agents)</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4</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Prepare the weekly payment run</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Reconcile a supplier statement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Call back a supplier to verify new bank details (AP)</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Check an expense claim</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5</w:t>
            </w:r>
          </w:p>
        </w:tc>
        <w:tc>
          <w:tcPr>
            <w:tcW w:type="dxa" w:w="950"/>
            <w:vAlign w:val="center"/>
          </w:tcPr>
          <w:p>
            <w:pPr>
              <w:spacing w:after="0" w:before="0" w:line="240" w:lineRule="auto"/>
            </w:pPr>
            <w:r>
              <w:rPr>
                <w:color w:val="000000"/>
                <w:sz w:val="16"/>
              </w:rPr>
              <w:t xml:space="preserve">1</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Answer a supplier query</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4</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Reconcile a company card statement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Monthly duplicate payment review</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Returned supplier payment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Send remittance advices after a payment run</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0</w:t>
            </w:r>
          </w:p>
        </w:tc>
        <w:tc>
          <w:tcPr>
            <w:tcW w:type="dxa" w:w="1050"/>
            <w:vAlign w:val="center"/>
          </w:tcPr>
          <w:p>
            <w:pPr>
              <w:spacing w:after="0" w:before="0" w:line="240" w:lineRule="auto"/>
            </w:pPr>
            <w:r>
              <w:rPr>
                <w:color w:val="000000"/>
                <w:sz w:val="16"/>
              </w:rPr>
              <w:t xml:space="preserve">FIN-03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Petty cash reconciliation</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Aged creditor review</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Month-end purchase cut-off check</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Chase a purchase order approval</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6</w:t>
            </w:r>
          </w:p>
        </w:tc>
        <w:tc>
          <w:tcPr>
            <w:tcW w:type="dxa" w:w="950"/>
            <w:vAlign w:val="center"/>
          </w:tcPr>
          <w:p>
            <w:pPr>
              <w:spacing w:after="0" w:before="0" w:line="240" w:lineRule="auto"/>
            </w:pPr>
            <w:r>
              <w:rPr>
                <w:color w:val="000000"/>
                <w:sz w:val="16"/>
              </w:rPr>
              <w:t xml:space="preserve">1</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Supplier onboarding checks (company, VAT number, insurance, sanctions)</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Company card administration: issue, cancel and set limits</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Confirm receipt of goods or services with a budget holder</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5</w:t>
            </w:r>
          </w:p>
        </w:tc>
        <w:tc>
          <w:tcPr>
            <w:tcW w:type="dxa" w:w="950"/>
            <w:vAlign w:val="center"/>
          </w:tcPr>
          <w:p>
            <w:pPr>
              <w:spacing w:after="0" w:before="0" w:line="240" w:lineRule="auto"/>
            </w:pPr>
            <w:r>
              <w:rPr>
                <w:color w:val="000000"/>
                <w:sz w:val="16"/>
              </w:rPr>
              <w:t xml:space="preserve">1</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Handle an emergency or non-PO purchase</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Close inactive supplier records</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Process a supplier credit note</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Urgent same-day payment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Recover a duplicate payment or overpayment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Check invoice coding and VAT treatment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w:t>
            </w:r>
          </w:p>
        </w:tc>
        <w:tc>
          <w:tcPr>
            <w:tcW w:type="dxa" w:w="950"/>
            <w:vAlign w:val="center"/>
          </w:tcPr>
          <w:p>
            <w:pPr>
              <w:spacing w:after="0" w:before="0" w:line="240" w:lineRule="auto"/>
            </w:pPr>
            <w:r>
              <w:rPr>
                <w:color w:val="000000"/>
                <w:sz w:val="16"/>
              </w:rPr>
              <w:t xml:space="preserve">0.5</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Reimburse approved expense claims</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Manage a travel advance (if used)</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 if used</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Resolve a disputed or personal card transaction</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FIN-08 / PB-08</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Replacement payment for a returned supplier payment</w:t>
            </w:r>
          </w:p>
        </w:tc>
        <w:tc>
          <w:tcPr>
            <w:tcW w:type="dxa" w:w="1600"/>
            <w:vAlign w:val="center"/>
          </w:tcPr>
          <w:p>
            <w:pPr>
              <w:spacing w:after="0" w:before="0" w:line="240" w:lineRule="auto"/>
            </w:pPr>
            <w:r>
              <w:rPr>
                <w:color w:val="000000"/>
                <w:sz w:val="16"/>
              </w:rPr>
              <w:t xml:space="preserve">AP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FIN-03 / PB-03</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Unapplied customer receipt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Download and import the daily bank statement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Chase an overdue account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4</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Raise a manual invoice or credit note</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4</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Credit-check a new customer and set a limit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Resolve a customer dispute or query</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Bad-debt provision review</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Upload an invoice to a customer portal</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5</w:t>
            </w:r>
          </w:p>
        </w:tc>
        <w:tc>
          <w:tcPr>
            <w:tcW w:type="dxa" w:w="950"/>
            <w:vAlign w:val="center"/>
          </w:tcPr>
          <w:p>
            <w:pPr>
              <w:spacing w:after="0" w:before="0" w:line="240" w:lineRule="auto"/>
            </w:pPr>
            <w:r>
              <w:rPr>
                <w:color w:val="000000"/>
                <w:sz w:val="16"/>
              </w:rPr>
              <w:t xml:space="preserve">2</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Customer statement run</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Direct debit run</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Twice 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Customer refund</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an existing credit limit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Collection referral</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Answer a sales team or customer account query</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Expected customer receipts for the cash forecast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Credit insurance limits and declarations (if insured)</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 if insured</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Set up billing for a new or changed customer contract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Customer rebate and discount calculation (if applicable)</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 if applicable</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Prepare billing data (time, usage or milestones) for the billing run</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an invoice before it is sent</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3</w:t>
            </w:r>
          </w:p>
        </w:tc>
        <w:tc>
          <w:tcPr>
            <w:tcW w:type="dxa" w:w="950"/>
            <w:vAlign w:val="center"/>
          </w:tcPr>
          <w:p>
            <w:pPr>
              <w:spacing w:after="0" w:before="0" w:line="240" w:lineRule="auto"/>
            </w:pPr>
            <w:r>
              <w:rPr>
                <w:color w:val="000000"/>
                <w:sz w:val="16"/>
              </w:rPr>
              <w:t xml:space="preserve">1</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Fix a billing exception (missing PO number, wrong price or customer details)</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6</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Resend an invoice that bounced or was rejected by the customer</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2</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Apply the annual price increase or indexation to contracts</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Month-end unbilled work and revenue cut-off review</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Reconcile card and payment processor settlements to the ledger (if used)</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 if used</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Approve a customer payment plan</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Place or release a credit hold</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Approve a bad-debt write-off</w:t>
            </w:r>
          </w:p>
        </w:tc>
        <w:tc>
          <w:tcPr>
            <w:tcW w:type="dxa" w:w="1600"/>
            <w:vAlign w:val="center"/>
          </w:tcPr>
          <w:p>
            <w:pPr>
              <w:spacing w:after="0" w:before="0" w:line="240" w:lineRule="auto"/>
            </w:pPr>
            <w:r>
              <w:rPr>
                <w:color w:val="000000"/>
                <w:sz w:val="16"/>
              </w:rPr>
              <w:t xml:space="preserve">AR team</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FIN-05 / PB-05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Update the daily cash position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2</w:t>
            </w:r>
          </w:p>
        </w:tc>
        <w:tc>
          <w:tcPr>
            <w:tcW w:type="dxa" w:w="1050"/>
            <w:vAlign w:val="center"/>
          </w:tcPr>
          <w:p>
            <w:pPr>
              <w:spacing w:after="0" w:before="0" w:line="240" w:lineRule="auto"/>
            </w:pPr>
            <w:r>
              <w:rPr>
                <w:color w:val="000000"/>
                <w:sz w:val="16"/>
              </w:rPr>
              <w:t xml:space="preserve">FIN-06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Update the 13-week cash forecast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Accrual or prepayment journal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Deferred income and revenue recognition schedule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Post the payroll journal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Prepare a reconciliation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Reconciliation break</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Close and audit support pack</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Tie pack figures to source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(reporting)</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Evidence a key control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Accruals for goods received not invoiced</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Prepare the VAT return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Corporation tax provision papers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Lender report and covenant calculation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if borrowing</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Collect payroll changes and send them to the bureau</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Check the bureau’s payroll before approval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FIN-07 / PB-07</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a capital item for the asset register</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Prepare the depreciation journal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Year-end adjustments and statutory accounts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1200</w:t>
            </w:r>
          </w:p>
        </w:tc>
        <w:tc>
          <w:tcPr>
            <w:tcW w:type="dxa" w:w="950"/>
            <w:vAlign w:val="center"/>
          </w:tcPr>
          <w:p>
            <w:pPr>
              <w:spacing w:after="0" w:before="0" w:line="240" w:lineRule="auto"/>
            </w:pPr>
            <w:r>
              <w:rPr>
                <w:color w:val="000000"/>
                <w:sz w:val="16"/>
              </w:rPr>
              <w:t xml:space="preserve">300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Answer an audit request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Corporation tax return pack for the advisers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Accrued income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Prepayment schedule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Asset disposal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Weekly bank reconciliation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PAYE and NIC reconciliation and payment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Pension contribution reconciliation and payment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FIN-07 / PB-07</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ONS statistical survey</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Stock valuation and provision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if stock held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Lease schedule and journals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if leases</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Corporation tax instalment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 if large</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Gender pay gap report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if 250+ staff</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200</w:t>
            </w:r>
          </w:p>
        </w:tc>
        <w:tc>
          <w:tcPr>
            <w:tcW w:type="dxa" w:w="1050"/>
            <w:vAlign w:val="center"/>
          </w:tcPr>
          <w:p>
            <w:pPr>
              <w:spacing w:after="0" w:before="0" w:line="240" w:lineRule="auto"/>
            </w:pPr>
            <w:r>
              <w:rPr>
                <w:color w:val="000000"/>
                <w:sz w:val="16"/>
              </w:rPr>
              <w:t xml:space="preserve">FIN-14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P11D returns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(June, due 6 July)</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400</w:t>
            </w:r>
          </w:p>
        </w:tc>
        <w:tc>
          <w:tcPr>
            <w:tcW w:type="dxa" w:w="1050"/>
            <w:vAlign w:val="center"/>
          </w:tcPr>
          <w:p>
            <w:pPr>
              <w:spacing w:after="0" w:before="0" w:line="240" w:lineRule="auto"/>
            </w:pPr>
            <w:r>
              <w:rPr>
                <w:color w:val="000000"/>
                <w:sz w:val="16"/>
              </w:rPr>
              <w:t xml:space="preserve">FIN-13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R&amp;D or grant claim</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if claiming</w:t>
            </w:r>
          </w:p>
        </w:tc>
        <w:tc>
          <w:tcPr>
            <w:tcW w:type="dxa" w:w="800"/>
            <w:vAlign w:val="center"/>
          </w:tcPr>
          <w:p>
            <w:pPr>
              <w:spacing w:after="0" w:before="0" w:line="240" w:lineRule="auto"/>
            </w:pPr>
            <w:r>
              <w:rPr>
                <w:color w:val="000000"/>
                <w:sz w:val="16"/>
              </w:rPr>
              <w:t xml:space="preserve">600</w:t>
            </w:r>
          </w:p>
        </w:tc>
        <w:tc>
          <w:tcPr>
            <w:tcW w:type="dxa" w:w="950"/>
            <w:vAlign w:val="center"/>
          </w:tcPr>
          <w:p>
            <w:pPr>
              <w:spacing w:after="0" w:before="0" w:line="240" w:lineRule="auto"/>
            </w:pPr>
            <w:r>
              <w:rPr>
                <w:color w:val="000000"/>
                <w:sz w:val="16"/>
              </w:rPr>
              <w:t xml:space="preserve">150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CIS monthly return (if you use subcontractors)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if subcontractors</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Preliminary trial balance review</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Cost recharge or recurring journal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2</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Open and close accounting periods in the ERP</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Investigate and fix a posting error</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PAYE settlement agreement (if you have one)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(July), if applicable</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Prepare a high-risk reconciliation (VAT, payroll, accruals, suspense)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75</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Large-company compliance returns (Senior Accounting Officer, payment practices, modern slavery)</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if large</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180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Holiday pay and bonus accruals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Answer an employee payroll query (if finance answers them)</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Daily, if applicable</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Review a new contract for billing and revenue recognition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Administer borrowing: interest and repayments (if borrowing)</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if borrowing</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Verify an employee bank-detail change</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Collect and approve timesheets and overtime for payroll</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Payroll correction or off-cycle payment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Payroll year-end: final submission, P60s and reconciliation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(April)</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480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Review provisions and accounting estimates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Reconcile sub-ledgers to the general ledger</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Review assets under construction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Verify that fixed assets exist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Identify new leases and update lease schedules (if leases)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 if leases</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Control tax registrations and tax codes in systems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Deferred tax calculation</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Answer an audit fieldwork request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(February and March)</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Pay corporation tax</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Annual (September)</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Set up and release the VAT payment</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Quarterly (VAT months)</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Final trial balance check after all postings</w:t>
            </w:r>
          </w:p>
        </w:tc>
        <w:tc>
          <w:tcPr>
            <w:tcW w:type="dxa" w:w="1600"/>
            <w:vAlign w:val="center"/>
          </w:tcPr>
          <w:p>
            <w:pPr>
              <w:spacing w:after="0" w:before="0" w:line="240" w:lineRule="auto"/>
            </w:pPr>
            <w:r>
              <w:rPr>
                <w:color w:val="000000"/>
                <w:sz w:val="16"/>
              </w:rPr>
              <w:t xml:space="preserve">Accountants</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Weekly KPI and cash report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Explain a variance</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 (reporting)</w:t>
            </w:r>
          </w:p>
        </w:tc>
        <w:tc>
          <w:tcPr>
            <w:tcW w:type="dxa" w:w="800"/>
            <w:vAlign w:val="center"/>
          </w:tcPr>
          <w:p>
            <w:pPr>
              <w:spacing w:after="0" w:before="0" w:line="240" w:lineRule="auto"/>
            </w:pPr>
            <w:r>
              <w:rPr>
                <w:color w:val="000000"/>
                <w:sz w:val="16"/>
              </w:rPr>
              <w:t xml:space="preserve">40</w:t>
            </w:r>
          </w:p>
        </w:tc>
        <w:tc>
          <w:tcPr>
            <w:tcW w:type="dxa" w:w="950"/>
            <w:vAlign w:val="center"/>
          </w:tcPr>
          <w:p>
            <w:pPr>
              <w:spacing w:after="0" w:before="0" w:line="240" w:lineRule="auto"/>
            </w:pPr>
            <w:r>
              <w:rPr>
                <w:color w:val="000000"/>
                <w:sz w:val="16"/>
              </w:rPr>
              <w:t xml:space="preserve">8</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Build the management pack</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 (reporting)</w:t>
            </w:r>
          </w:p>
        </w:tc>
        <w:tc>
          <w:tcPr>
            <w:tcW w:type="dxa" w:w="800"/>
            <w:vAlign w:val="center"/>
          </w:tcPr>
          <w:p>
            <w:pPr>
              <w:spacing w:after="0" w:before="0" w:line="240" w:lineRule="auto"/>
            </w:pPr>
            <w:r>
              <w:rPr>
                <w:color w:val="000000"/>
                <w:sz w:val="16"/>
              </w:rPr>
              <w:t xml:space="preserve">300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Business case analysis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FP&amp;A pricing or deal analysis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Quarterly reforecast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Quarterly board pack</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Prepare budget templates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Support a budget holder with their budget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Consolidate and challenge the budget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1200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Set up or change a supplier or customer</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4</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Finance check of an over-budget requisition</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Cost-centre report for a budget holder</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Recruitment request check</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Sales commission and bonus calculation</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180</w:t>
            </w:r>
          </w:p>
        </w:tc>
        <w:tc>
          <w:tcPr>
            <w:tcW w:type="dxa" w:w="1050"/>
            <w:vAlign w:val="center"/>
          </w:tcPr>
          <w:p>
            <w:pPr>
              <w:spacing w:after="0" w:before="0" w:line="240" w:lineRule="auto"/>
            </w:pPr>
            <w:r>
              <w:rPr>
                <w:color w:val="000000"/>
                <w:sz w:val="16"/>
              </w:rPr>
              <w:t xml:space="preserve">FIN-11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Capex tracking and post-investment review</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Pricing model update</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Business partnering meeting with a budget holder</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Ad hoc analysis or scenario request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Monthly headcount and payroll cost report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Maintain KPI dashboards and report definitions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Product or customer profitability analysis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Rolling forecast update (months without a reforecast)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 if used</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150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ESG or sustainability reporting (if applicable)</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Quarterly, if applicable</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Flash estimate of results for the CFO</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Sales pipeline and forecast review with sales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Long-range plan (three to five years)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960</w:t>
            </w:r>
          </w:p>
        </w:tc>
        <w:tc>
          <w:tcPr>
            <w:tcW w:type="dxa" w:w="950"/>
            <w:vAlign w:val="center"/>
          </w:tcPr>
          <w:p>
            <w:pPr>
              <w:spacing w:after="0" w:before="0" w:line="240" w:lineRule="auto"/>
            </w:pPr>
            <w:r>
              <w:rPr>
                <w:color w:val="000000"/>
                <w:sz w:val="16"/>
              </w:rPr>
              <w:t xml:space="preserve">480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Planning model maintenance and version control</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Cost-savings programme tracking</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Software subscription spend review</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Finance review of a contract or commitment</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FIN-02 / PB-02</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Control management report distribution</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Load the approved budget into the ERP</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Track agreed corrective actions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Maintain the headcount and capital expenditure plans</w:t>
            </w:r>
          </w:p>
        </w:tc>
        <w:tc>
          <w:tcPr>
            <w:tcW w:type="dxa" w:w="1600"/>
            <w:vAlign w:val="center"/>
          </w:tcPr>
          <w:p>
            <w:pPr>
              <w:spacing w:after="0" w:before="0" w:line="240" w:lineRule="auto"/>
            </w:pPr>
            <w:r>
              <w:rPr>
                <w:color w:val="000000"/>
                <w:sz w:val="16"/>
              </w:rPr>
              <w:t xml:space="preserve">FP&amp;A</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Finance Manager reviews a reconciliation</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6</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Finance systems support request</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Daily agent monitoring (recommended only)</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Daily, recommended only</w:t>
            </w:r>
          </w:p>
        </w:tc>
        <w:tc>
          <w:tcPr>
            <w:tcW w:type="dxa" w:w="800"/>
            <w:vAlign w:val="center"/>
          </w:tcPr>
          <w:p>
            <w:pPr>
              <w:spacing w:after="0" w:before="0" w:line="240" w:lineRule="auto"/>
            </w:pPr>
            <w:r>
              <w:rPr>
                <w:color w:val="000000"/>
                <w:sz w:val="16"/>
              </w:rPr>
              <w:t xml:space="preserve">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Weekly agent performance review (recommended only)</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Weekly, recommended only</w:t>
            </w:r>
          </w:p>
        </w:tc>
        <w:tc>
          <w:tcPr>
            <w:tcW w:type="dxa" w:w="800"/>
            <w:vAlign w:val="center"/>
          </w:tcPr>
          <w:p>
            <w:pPr>
              <w:spacing w:after="0" w:before="0" w:line="240" w:lineRule="auto"/>
            </w:pPr>
            <w:r>
              <w:rPr>
                <w:color w:val="000000"/>
                <w:sz w:val="16"/>
              </w:rPr>
              <w:t xml:space="preserve">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Monthly playbook updates and retesting (recommended only)</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 recommended only</w:t>
            </w:r>
          </w:p>
        </w:tc>
        <w:tc>
          <w:tcPr>
            <w:tcW w:type="dxa" w:w="800"/>
            <w:vAlign w:val="center"/>
          </w:tcPr>
          <w:p>
            <w:pPr>
              <w:spacing w:after="0" w:before="0" w:line="240" w:lineRule="auto"/>
            </w:pPr>
            <w:r>
              <w:rPr>
                <w:color w:val="000000"/>
                <w:sz w:val="16"/>
              </w:rPr>
              <w:t xml:space="preserve">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Finance Manager team time (weekly)</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Process notes and policies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Plan the next close</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FIN-10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Audit coordination (Finance Manager)</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Train and onboard finance staff</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Performance review and objectives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Finance system projects and upgrades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210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Manage system vendors and licences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Finance Manager reviews a high-risk reconciliation</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System user access for a joiner, mover or leaver</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FIN-15 / PB-15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Recruitment interviews for a finance vacancy</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When a vacancy arises</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480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Maintain the finance calendar</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Handover record for absence or a leaver</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Maintain the chart of accounts and cost centres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automated and recurring journal templates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Send month-end cut-off reminders to the business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FIN-10 / PB-10</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Plan the year-end close and audit timetable</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Approve and test a system configuration change</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Validate data imports and interfaces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5</w:t>
            </w:r>
          </w:p>
        </w:tc>
        <w:tc>
          <w:tcPr>
            <w:tcW w:type="dxa" w:w="1050"/>
            <w:vAlign w:val="center"/>
          </w:tcPr>
          <w:p>
            <w:pPr>
              <w:spacing w:after="0" w:before="0" w:line="240" w:lineRule="auto"/>
            </w:pPr>
            <w:r>
              <w:rPr>
                <w:color w:val="000000"/>
                <w:sz w:val="16"/>
              </w:rPr>
              <w:t xml:space="preserve">FIN-15 / PB-15</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Review key spreadsheets and report definitions</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FIN-15 / PB-15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Records retention review and secure disposal</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FIN-15 / PB-15</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Coordinate backup and recovery testing with IT</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Maintain business continuity arrangements and test staff cover</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Fix and re-run a failed interface</w:t>
            </w:r>
          </w:p>
        </w:tc>
        <w:tc>
          <w:tcPr>
            <w:tcW w:type="dxa" w:w="1600"/>
            <w:vAlign w:val="center"/>
          </w:tcPr>
          <w:p>
            <w:pPr>
              <w:spacing w:after="0" w:before="0" w:line="240" w:lineRule="auto"/>
            </w:pPr>
            <w:r>
              <w:rPr>
                <w:color w:val="000000"/>
                <w:sz w:val="16"/>
              </w:rPr>
              <w:t xml:space="preserve">Finance Manager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FIN-15 / PB-15</w:t>
            </w:r>
          </w:p>
        </w:tc>
        <w:tc>
          <w:tcPr>
            <w:tcW w:type="dxa" w:w="1074"/>
            <w:vAlign w:val="center"/>
          </w:tcPr>
          <w:p>
            <w:pPr>
              <w:spacing w:after="0" w:before="0" w:line="240" w:lineRule="auto"/>
            </w:pPr>
            <w:r>
              <w:rPr>
                <w:color w:val="000000"/>
                <w:sz w:val="16"/>
              </w:rPr>
              <w:t xml:space="preserve">1</w:t>
            </w:r>
          </w:p>
        </w:tc>
      </w:tr>
      <w:tr>
        <w:trPr>
          <w:cantSplit/>
        </w:trPr>
        <w:tc>
          <w:tcPr>
            <w:tcW w:type="dxa" w:w="3300"/>
            <w:vAlign w:val="center"/>
          </w:tcPr>
          <w:p>
            <w:pPr>
              <w:spacing w:after="0" w:before="0" w:line="240" w:lineRule="auto"/>
            </w:pPr>
            <w:r>
              <w:rPr>
                <w:b/>
                <w:color w:val="000000"/>
                <w:sz w:val="16"/>
              </w:rPr>
              <w:t xml:space="preserve">Financial Controller approves the payment run</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FIN-03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Statutory filings calendar and confirmation statement</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Quarterly access review</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300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Financial Controller cash decisions (weekly)</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FIN-06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Finance policy updates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FIN-01 / PB-01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Insurance claims and queries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Pension scheme administration</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Quarterly tax planning</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Audit planning and management letter</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none</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Insurance renewal</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Pension re-enrolment</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Every three years</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FIN-07 / PB-07</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Answer a business query on accounting, policy or contracts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Daily</w:t>
            </w:r>
          </w:p>
        </w:tc>
        <w:tc>
          <w:tcPr>
            <w:tcW w:type="dxa" w:w="800"/>
            <w:vAlign w:val="center"/>
          </w:tcPr>
          <w:p>
            <w:pPr>
              <w:spacing w:after="0" w:before="0" w:line="240" w:lineRule="auto"/>
            </w:pPr>
            <w:r>
              <w:rPr>
                <w:color w:val="000000"/>
                <w:sz w:val="16"/>
              </w:rPr>
              <w:t xml:space="preserve">20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FIN-01 / PB-01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Investigate a suspected fraud or control failure</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180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Controls and risk paper for the board</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Support a contract or legal review</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25</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Company secretarial: board minutes, registers and Companies House</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Approve a manual journal above the threshold</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 (close)</w:t>
            </w:r>
          </w:p>
        </w:tc>
        <w:tc>
          <w:tcPr>
            <w:tcW w:type="dxa" w:w="800"/>
            <w:vAlign w:val="center"/>
          </w:tcPr>
          <w:p>
            <w:pPr>
              <w:spacing w:after="0" w:before="0" w:line="240" w:lineRule="auto"/>
            </w:pPr>
            <w:r>
              <w:rPr>
                <w:color w:val="000000"/>
                <w:sz w:val="16"/>
              </w:rPr>
              <w:t xml:space="preserve">5</w:t>
            </w:r>
          </w:p>
        </w:tc>
        <w:tc>
          <w:tcPr>
            <w:tcW w:type="dxa" w:w="950"/>
            <w:vAlign w:val="center"/>
          </w:tcPr>
          <w:p>
            <w:pPr>
              <w:spacing w:after="0" w:before="0" w:line="240" w:lineRule="auto"/>
            </w:pPr>
            <w:r>
              <w:rPr>
                <w:color w:val="000000"/>
                <w:sz w:val="16"/>
              </w:rPr>
              <w:t xml:space="preserve">3</w:t>
            </w:r>
          </w:p>
        </w:tc>
        <w:tc>
          <w:tcPr>
            <w:tcW w:type="dxa" w:w="1050"/>
            <w:vAlign w:val="center"/>
          </w:tcPr>
          <w:p>
            <w:pPr>
              <w:spacing w:after="0" w:before="0" w:line="240" w:lineRule="auto"/>
            </w:pPr>
            <w:r>
              <w:rPr>
                <w:color w:val="000000"/>
                <w:sz w:val="16"/>
              </w:rPr>
              <w:t xml:space="preserve">FIN-09 / PB-09</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Bank mandate and portal user changes; payment limit review</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Employment status (IR35) check for a new contractor</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FIN-07 / PB-07</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Dividend paperwork and distributable reserves check (if paying dividends)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 if paying dividends</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Litigation and claims review</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Review delegated approval limits against approvals made</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FIN-01 / PB-01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Approve and record a policy exception</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FIN-01 / PB-01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Identify and approve a related-party transaction</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FIN-01 / PB-01</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Approve non-standard payment terms, prices or discounts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15</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FIN-04 / PB-04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Open or close a bank account (if needed)</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When needed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FIN-06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Approve a transfer between bank accounts (if more than one account)</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Weekly, if applicable</w:t>
            </w:r>
          </w:p>
        </w:tc>
        <w:tc>
          <w:tcPr>
            <w:tcW w:type="dxa" w:w="800"/>
            <w:vAlign w:val="center"/>
          </w:tcPr>
          <w:p>
            <w:pPr>
              <w:spacing w:after="0" w:before="0" w:line="240" w:lineRule="auto"/>
            </w:pPr>
            <w:r>
              <w:rPr>
                <w:color w:val="000000"/>
                <w:sz w:val="16"/>
              </w:rPr>
              <w:t xml:space="preserve">10</w:t>
            </w:r>
          </w:p>
        </w:tc>
        <w:tc>
          <w:tcPr>
            <w:tcW w:type="dxa" w:w="950"/>
            <w:vAlign w:val="center"/>
          </w:tcPr>
          <w:p>
            <w:pPr>
              <w:spacing w:after="0" w:before="0" w:line="240" w:lineRule="auto"/>
            </w:pPr>
            <w:r>
              <w:rPr>
                <w:color w:val="000000"/>
                <w:sz w:val="16"/>
              </w:rPr>
              <w:t xml:space="preserve">10</w:t>
            </w:r>
          </w:p>
        </w:tc>
        <w:tc>
          <w:tcPr>
            <w:tcW w:type="dxa" w:w="1050"/>
            <w:vAlign w:val="center"/>
          </w:tcPr>
          <w:p>
            <w:pPr>
              <w:spacing w:after="0" w:before="0" w:line="240" w:lineRule="auto"/>
            </w:pPr>
            <w:r>
              <w:rPr>
                <w:color w:val="000000"/>
                <w:sz w:val="16"/>
              </w:rPr>
              <w:t xml:space="preserve">FIN-06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Place surplus cash within approved limits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the payroll bureau service and errors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FIN-07 / PB-07</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impairment indicators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Maintain the tax obligations calendar</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15</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Respond to an HMRC enquiry (if any)</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When received</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360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Document significant accounting judgements and estimates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Going concern assessment</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Review events after the year-end</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(year-end)</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Review protection of confidential finance data</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Maintain the finance risk and control register</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Finance cyber incident exercise with IT</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(July)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Test emergency payment and payroll procedures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(July)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FIN-16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Review outsourced finance providers (bureau, advisers, banks)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(July)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Board approval of the statutory accounts</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(March)</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File the statutory accounts at Companies House</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(September)</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Approve the corporation tax return for filing</w:t>
            </w:r>
          </w:p>
        </w:tc>
        <w:tc>
          <w:tcPr>
            <w:tcW w:type="dxa" w:w="1600"/>
            <w:vAlign w:val="center"/>
          </w:tcPr>
          <w:p>
            <w:pPr>
              <w:spacing w:after="0" w:before="0" w:line="240" w:lineRule="auto"/>
            </w:pPr>
            <w:r>
              <w:rPr>
                <w:color w:val="000000"/>
                <w:sz w:val="16"/>
              </w:rPr>
              <w:t xml:space="preserve">Financial Controller</w:t>
            </w:r>
          </w:p>
        </w:tc>
        <w:tc>
          <w:tcPr>
            <w:tcW w:type="dxa" w:w="1450"/>
            <w:vAlign w:val="center"/>
          </w:tcPr>
          <w:p>
            <w:pPr>
              <w:spacing w:after="0" w:before="0" w:line="240" w:lineRule="auto"/>
            </w:pPr>
            <w:r>
              <w:rPr>
                <w:color w:val="000000"/>
                <w:sz w:val="16"/>
              </w:rPr>
              <w:t xml:space="preserve">Annual (December)</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FIN-13 / PB-13</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CFO review of the pack</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 (reporting)</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45</w:t>
            </w:r>
          </w:p>
        </w:tc>
        <w:tc>
          <w:tcPr>
            <w:tcW w:type="dxa" w:w="1050"/>
            <w:vAlign w:val="center"/>
          </w:tcPr>
          <w:p>
            <w:pPr>
              <w:spacing w:after="0" w:before="0" w:line="240" w:lineRule="auto"/>
            </w:pPr>
            <w:r>
              <w:rPr>
                <w:color w:val="000000"/>
                <w:sz w:val="16"/>
              </w:rPr>
              <w:t xml:space="preserve">FIN-10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CFO monthly update to owners and board</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FIN-14 / PB-14</w:t>
            </w:r>
          </w:p>
        </w:tc>
        <w:tc>
          <w:tcPr>
            <w:tcW w:type="dxa" w:w="1074"/>
            <w:vAlign w:val="center"/>
          </w:tcPr>
          <w:p>
            <w:pPr>
              <w:spacing w:after="0" w:before="0" w:line="240" w:lineRule="auto"/>
            </w:pPr>
            <w:r>
              <w:rPr>
                <w:color w:val="000000"/>
                <w:sz w:val="16"/>
              </w:rPr>
              <w:t xml:space="preserve">2</w:t>
            </w:r>
          </w:p>
        </w:tc>
      </w:tr>
      <w:tr>
        <w:trPr>
          <w:cantSplit/>
        </w:trPr>
        <w:tc>
          <w:tcPr>
            <w:tcW w:type="dxa" w:w="3300"/>
            <w:vAlign w:val="center"/>
          </w:tcPr>
          <w:p>
            <w:pPr>
              <w:spacing w:after="0" w:before="0" w:line="240" w:lineRule="auto"/>
            </w:pPr>
            <w:r>
              <w:rPr>
                <w:b/>
                <w:color w:val="000000"/>
                <w:sz w:val="16"/>
              </w:rPr>
              <w:t xml:space="preserve">CFO deal approval</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30</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CFO contract review</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20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Leadership team meeting (weekly)</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IT and HR oversight (weekly)</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FIN-15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CFO strategy work</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180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Investor and owner calls</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FIN-14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CFO recruitment and interviews</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120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Quarterly board meeting</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FIN-14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Risk register review</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FIN-16 / PB-16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Banking facility review</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CFO acquisition or disposal work</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When under way</w:t>
            </w:r>
          </w:p>
        </w:tc>
        <w:tc>
          <w:tcPr>
            <w:tcW w:type="dxa" w:w="800"/>
            <w:vAlign w:val="center"/>
          </w:tcPr>
          <w:p>
            <w:pPr>
              <w:spacing w:after="0" w:before="0" w:line="240" w:lineRule="auto"/>
            </w:pPr>
            <w:r>
              <w:rPr>
                <w:color w:val="000000"/>
                <w:sz w:val="16"/>
              </w:rPr>
              <w:t xml:space="preserve">960</w:t>
            </w:r>
          </w:p>
        </w:tc>
        <w:tc>
          <w:tcPr>
            <w:tcW w:type="dxa" w:w="950"/>
            <w:vAlign w:val="center"/>
          </w:tcPr>
          <w:p>
            <w:pPr>
              <w:spacing w:after="0" w:before="0" w:line="240" w:lineRule="auto"/>
            </w:pPr>
            <w:r>
              <w:rPr>
                <w:color w:val="000000"/>
                <w:sz w:val="16"/>
              </w:rPr>
              <w:t xml:space="preserve">720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Customer or supplier commercial negotiation</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100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Funding and bank relationship meeting</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180</w:t>
            </w:r>
          </w:p>
        </w:tc>
        <w:tc>
          <w:tcPr>
            <w:tcW w:type="dxa" w:w="950"/>
            <w:vAlign w:val="center"/>
          </w:tcPr>
          <w:p>
            <w:pPr>
              <w:spacing w:after="0" w:before="0" w:line="240" w:lineRule="auto"/>
            </w:pPr>
            <w:r>
              <w:rPr>
                <w:color w:val="000000"/>
                <w:sz w:val="16"/>
              </w:rPr>
              <w:t xml:space="preserve">150</w:t>
            </w:r>
          </w:p>
        </w:tc>
        <w:tc>
          <w:tcPr>
            <w:tcW w:type="dxa" w:w="1050"/>
            <w:vAlign w:val="center"/>
          </w:tcPr>
          <w:p>
            <w:pPr>
              <w:spacing w:after="0" w:before="0" w:line="240" w:lineRule="auto"/>
            </w:pPr>
            <w:r>
              <w:rPr>
                <w:color w:val="000000"/>
                <w:sz w:val="16"/>
              </w:rPr>
              <w:t xml:space="preserve">FIN-06 / PB-06</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Request from the CEO</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45</w:t>
            </w:r>
          </w:p>
        </w:tc>
        <w:tc>
          <w:tcPr>
            <w:tcW w:type="dxa" w:w="950"/>
            <w:vAlign w:val="center"/>
          </w:tcPr>
          <w:p>
            <w:pPr>
              <w:spacing w:after="0" w:before="0" w:line="240" w:lineRule="auto"/>
            </w:pPr>
            <w:r>
              <w:rPr>
                <w:color w:val="000000"/>
                <w:sz w:val="16"/>
              </w:rPr>
              <w:t xml:space="preserve">30</w:t>
            </w:r>
          </w:p>
        </w:tc>
        <w:tc>
          <w:tcPr>
            <w:tcW w:type="dxa" w:w="1050"/>
            <w:vAlign w:val="center"/>
          </w:tcPr>
          <w:p>
            <w:pPr>
              <w:spacing w:after="0" w:before="0" w:line="240" w:lineRule="auto"/>
            </w:pPr>
            <w:r>
              <w:rPr>
                <w:color w:val="000000"/>
                <w:sz w:val="16"/>
              </w:rPr>
              <w:t xml:space="preserve">FIN-11 / PB-11</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CFO one-to-ones with direct reports (weekly)</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90</w:t>
            </w:r>
          </w:p>
        </w:tc>
        <w:tc>
          <w:tcPr>
            <w:tcW w:type="dxa" w:w="950"/>
            <w:vAlign w:val="center"/>
          </w:tcPr>
          <w:p>
            <w:pPr>
              <w:spacing w:after="0" w:before="0" w:line="240" w:lineRule="auto"/>
            </w:pPr>
            <w:r>
              <w:rPr>
                <w:color w:val="000000"/>
                <w:sz w:val="16"/>
              </w:rPr>
              <w:t xml:space="preserve">90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Annual pay review and remuneration committee papers</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Annual (budget)</w:t>
            </w:r>
          </w:p>
        </w:tc>
        <w:tc>
          <w:tcPr>
            <w:tcW w:type="dxa" w:w="800"/>
            <w:vAlign w:val="center"/>
          </w:tcPr>
          <w:p>
            <w:pPr>
              <w:spacing w:after="0" w:before="0" w:line="240" w:lineRule="auto"/>
            </w:pPr>
            <w:r>
              <w:rPr>
                <w:color w:val="000000"/>
                <w:sz w:val="16"/>
              </w:rPr>
              <w:t xml:space="preserve">480</w:t>
            </w:r>
          </w:p>
        </w:tc>
        <w:tc>
          <w:tcPr>
            <w:tcW w:type="dxa" w:w="950"/>
            <w:vAlign w:val="center"/>
          </w:tcPr>
          <w:p>
            <w:pPr>
              <w:spacing w:after="0" w:before="0" w:line="240" w:lineRule="auto"/>
            </w:pPr>
            <w:r>
              <w:rPr>
                <w:color w:val="000000"/>
                <w:sz w:val="16"/>
              </w:rPr>
              <w:t xml:space="preserve">360</w:t>
            </w:r>
          </w:p>
        </w:tc>
        <w:tc>
          <w:tcPr>
            <w:tcW w:type="dxa" w:w="1050"/>
            <w:vAlign w:val="center"/>
          </w:tcPr>
          <w:p>
            <w:pPr>
              <w:spacing w:after="0" w:before="0" w:line="240" w:lineRule="auto"/>
            </w:pPr>
            <w:r>
              <w:rPr>
                <w:color w:val="000000"/>
                <w:sz w:val="16"/>
              </w:rPr>
              <w:t xml:space="preserve">FIN-07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Property and lease decisions</w:t>
            </w:r>
          </w:p>
        </w:tc>
        <w:tc>
          <w:tcPr>
            <w:tcW w:type="dxa" w:w="1600"/>
            <w:vAlign w:val="center"/>
          </w:tcPr>
          <w:p>
            <w:pPr>
              <w:spacing w:after="0" w:before="0" w:line="240" w:lineRule="auto"/>
            </w:pPr>
            <w:r>
              <w:rPr>
                <w:color w:val="000000"/>
                <w:sz w:val="16"/>
              </w:rPr>
              <w:t xml:space="preserve">CFO</w:t>
            </w:r>
          </w:p>
        </w:tc>
        <w:tc>
          <w:tcPr>
            <w:tcW w:type="dxa" w:w="1450"/>
            <w:vAlign w:val="center"/>
          </w:tcPr>
          <w:p>
            <w:pPr>
              <w:spacing w:after="0" w:before="0" w:line="240" w:lineRule="auto"/>
            </w:pPr>
            <w:r>
              <w:rPr>
                <w:color w:val="000000"/>
                <w:sz w:val="16"/>
              </w:rPr>
              <w:t xml:space="preserve">Quarterly</w:t>
            </w:r>
          </w:p>
        </w:tc>
        <w:tc>
          <w:tcPr>
            <w:tcW w:type="dxa" w:w="800"/>
            <w:vAlign w:val="center"/>
          </w:tcPr>
          <w:p>
            <w:pPr>
              <w:spacing w:after="0" w:before="0" w:line="240" w:lineRule="auto"/>
            </w:pPr>
            <w:r>
              <w:rPr>
                <w:color w:val="000000"/>
                <w:sz w:val="16"/>
              </w:rPr>
              <w:t xml:space="preserve">120</w:t>
            </w:r>
          </w:p>
        </w:tc>
        <w:tc>
          <w:tcPr>
            <w:tcW w:type="dxa" w:w="950"/>
            <w:vAlign w:val="center"/>
          </w:tcPr>
          <w:p>
            <w:pPr>
              <w:spacing w:after="0" w:before="0" w:line="240" w:lineRule="auto"/>
            </w:pPr>
            <w:r>
              <w:rPr>
                <w:color w:val="000000"/>
                <w:sz w:val="16"/>
              </w:rPr>
              <w:t xml:space="preserve">100</w:t>
            </w:r>
          </w:p>
        </w:tc>
        <w:tc>
          <w:tcPr>
            <w:tcW w:type="dxa" w:w="1050"/>
            <w:vAlign w:val="center"/>
          </w:tcPr>
          <w:p>
            <w:pPr>
              <w:spacing w:after="0" w:before="0" w:line="240" w:lineRule="auto"/>
            </w:pPr>
            <w:r>
              <w:rPr>
                <w:color w:val="000000"/>
                <w:sz w:val="16"/>
              </w:rPr>
              <w:t xml:space="preserve">FIN-12 / PB-12</w:t>
            </w:r>
          </w:p>
        </w:tc>
        <w:tc>
          <w:tcPr>
            <w:tcW w:type="dxa" w:w="1074"/>
            <w:vAlign w:val="center"/>
          </w:tcPr>
          <w:p>
            <w:pPr>
              <w:spacing w:after="0" w:before="0" w:line="240" w:lineRule="auto"/>
            </w:pPr>
            <w:r>
              <w:rPr>
                <w:color w:val="000000"/>
                <w:sz w:val="16"/>
              </w:rPr>
              <w:t xml:space="preserve">3</w:t>
            </w:r>
          </w:p>
        </w:tc>
      </w:tr>
      <w:tr>
        <w:trPr>
          <w:cantSplit/>
        </w:trPr>
        <w:tc>
          <w:tcPr>
            <w:tcW w:type="dxa" w:w="3300"/>
            <w:vAlign w:val="center"/>
          </w:tcPr>
          <w:p>
            <w:pPr>
              <w:spacing w:after="0" w:before="0" w:line="240" w:lineRule="auto"/>
            </w:pPr>
            <w:r>
              <w:rPr>
                <w:b/>
                <w:color w:val="000000"/>
                <w:sz w:val="16"/>
              </w:rPr>
              <w:t xml:space="preserve">Finance team meeting, per person (weekly)</w:t>
            </w:r>
          </w:p>
        </w:tc>
        <w:tc>
          <w:tcPr>
            <w:tcW w:type="dxa" w:w="1600"/>
            <w:vAlign w:val="center"/>
          </w:tcPr>
          <w:p>
            <w:pPr>
              <w:spacing w:after="0" w:before="0" w:line="240" w:lineRule="auto"/>
            </w:pPr>
            <w:r>
              <w:rPr>
                <w:color w:val="000000"/>
                <w:sz w:val="16"/>
              </w:rPr>
              <w:t xml:space="preserve">Everyone</w:t>
            </w:r>
          </w:p>
        </w:tc>
        <w:tc>
          <w:tcPr>
            <w:tcW w:type="dxa" w:w="1450"/>
            <w:vAlign w:val="center"/>
          </w:tcPr>
          <w:p>
            <w:pPr>
              <w:spacing w:after="0" w:before="0" w:line="240" w:lineRule="auto"/>
            </w:pPr>
            <w:r>
              <w:rPr>
                <w:color w:val="000000"/>
                <w:sz w:val="16"/>
              </w:rPr>
              <w:t xml:space="preserve">Weekly</w:t>
            </w:r>
          </w:p>
        </w:tc>
        <w:tc>
          <w:tcPr>
            <w:tcW w:type="dxa" w:w="800"/>
            <w:vAlign w:val="center"/>
          </w:tcPr>
          <w:p>
            <w:pPr>
              <w:spacing w:after="0" w:before="0" w:line="240" w:lineRule="auto"/>
            </w:pPr>
            <w:r>
              <w:rPr>
                <w:color w:val="000000"/>
                <w:sz w:val="16"/>
              </w:rPr>
              <w:t xml:space="preserve">60</w:t>
            </w:r>
          </w:p>
        </w:tc>
        <w:tc>
          <w:tcPr>
            <w:tcW w:type="dxa" w:w="950"/>
            <w:vAlign w:val="center"/>
          </w:tcPr>
          <w:p>
            <w:pPr>
              <w:spacing w:after="0" w:before="0" w:line="240" w:lineRule="auto"/>
            </w:pPr>
            <w:r>
              <w:rPr>
                <w:color w:val="000000"/>
                <w:sz w:val="16"/>
              </w:rPr>
              <w:t xml:space="preserve">60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r>
        <w:trPr>
          <w:cantSplit/>
        </w:trPr>
        <w:tc>
          <w:tcPr>
            <w:tcW w:type="dxa" w:w="3300"/>
            <w:vAlign w:val="center"/>
          </w:tcPr>
          <w:p>
            <w:pPr>
              <w:spacing w:after="0" w:before="0" w:line="240" w:lineRule="auto"/>
            </w:pPr>
            <w:r>
              <w:rPr>
                <w:b/>
                <w:color w:val="000000"/>
                <w:sz w:val="16"/>
              </w:rPr>
              <w:t xml:space="preserve">Training and professional development, per person per month</w:t>
            </w:r>
          </w:p>
        </w:tc>
        <w:tc>
          <w:tcPr>
            <w:tcW w:type="dxa" w:w="1600"/>
            <w:vAlign w:val="center"/>
          </w:tcPr>
          <w:p>
            <w:pPr>
              <w:spacing w:after="0" w:before="0" w:line="240" w:lineRule="auto"/>
            </w:pPr>
            <w:r>
              <w:rPr>
                <w:color w:val="000000"/>
                <w:sz w:val="16"/>
              </w:rPr>
              <w:t xml:space="preserve">Everyone</w:t>
            </w:r>
          </w:p>
        </w:tc>
        <w:tc>
          <w:tcPr>
            <w:tcW w:type="dxa" w:w="1450"/>
            <w:vAlign w:val="center"/>
          </w:tcPr>
          <w:p>
            <w:pPr>
              <w:spacing w:after="0" w:before="0" w:line="240" w:lineRule="auto"/>
            </w:pPr>
            <w:r>
              <w:rPr>
                <w:color w:val="000000"/>
                <w:sz w:val="16"/>
              </w:rPr>
              <w:t xml:space="preserve">Monthly</w:t>
            </w:r>
          </w:p>
        </w:tc>
        <w:tc>
          <w:tcPr>
            <w:tcW w:type="dxa" w:w="800"/>
            <w:vAlign w:val="center"/>
          </w:tcPr>
          <w:p>
            <w:pPr>
              <w:spacing w:after="0" w:before="0" w:line="240" w:lineRule="auto"/>
            </w:pPr>
            <w:r>
              <w:rPr>
                <w:color w:val="000000"/>
                <w:sz w:val="16"/>
              </w:rPr>
              <w:t xml:space="preserve">240</w:t>
            </w:r>
          </w:p>
        </w:tc>
        <w:tc>
          <w:tcPr>
            <w:tcW w:type="dxa" w:w="950"/>
            <w:vAlign w:val="center"/>
          </w:tcPr>
          <w:p>
            <w:pPr>
              <w:spacing w:after="0" w:before="0" w:line="240" w:lineRule="auto"/>
            </w:pPr>
            <w:r>
              <w:rPr>
                <w:color w:val="000000"/>
                <w:sz w:val="16"/>
              </w:rPr>
              <w:t xml:space="preserve">240</w:t>
            </w:r>
          </w:p>
        </w:tc>
        <w:tc>
          <w:tcPr>
            <w:tcW w:type="dxa" w:w="1050"/>
            <w:vAlign w:val="center"/>
          </w:tcPr>
          <w:p>
            <w:pPr>
              <w:spacing w:after="0" w:before="0" w:line="240" w:lineRule="auto"/>
            </w:pPr>
            <w:r>
              <w:rPr>
                <w:color w:val="000000"/>
                <w:sz w:val="16"/>
              </w:rPr>
              <w:t xml:space="preserve">FIN-01 / none</w:t>
            </w:r>
          </w:p>
        </w:tc>
        <w:tc>
          <w:tcPr>
            <w:tcW w:type="dxa" w:w="1074"/>
            <w:vAlign w:val="center"/>
          </w:tcPr>
          <w:p>
            <w:pPr>
              <w:spacing w:after="0" w:before="0" w:line="240" w:lineRule="auto"/>
            </w:pPr>
            <w:r>
              <w:rPr>
                <w:color w:val="000000"/>
                <w:sz w:val="16"/>
              </w:rPr>
              <w:t xml:space="preserve">No agent</w:t>
            </w:r>
          </w:p>
        </w:tc>
      </w:tr>
    </w:tbl>
    <w:sectPr>
      <w:footerReference w:type="default" r:id="rId9"/>
      <w:pgSz w:w="12240" w:h="15840"/>
      <w:pgMar w:top="864" w:right="1008" w:bottom="864" w:left="1008"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CFO office processes   |   </w:t>
    </w:r>
    <w:fldSimple w:instr="PAGE">
      <w:r>
        <w:rPr>
          <w:sz w:val="18"/>
        </w:rPr>
        <w:t>1</w:t>
      </w:r>
    </w:fldSimple>
    <w:r>
      <w:rPr>
        <w:sz w:val="18"/>
      </w:rPr>
      <w:t xml:space="preserve"> / </w:t>
    </w:r>
    <w:fldSimple w:instr="NUMPAGES">
      <w:r>
        <w:rPr>
          <w:sz w:val="18"/>
        </w:rPr>
        <w:t>16</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Calibri" w:hAnsi="Calibri"/>
      <w:b/>
      <w:color w:val="000000"/>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office process guide</dc:title>
  <dc:subject>Finance processes agentic workflows and record level systems exchanges</dc:subject>
  <dc:creator/>
  <cp:keywords>CFO, finance, process, inputs, outputs, responsibilities</cp:keywords>
  <dc:description>generated by python-docx</dc:description>
  <cp:lastModifiedBy/>
  <cp:revision>1</cp:revision>
  <dcterms:created xsi:type="dcterms:W3CDTF">2013-12-23T23:15:00Z</dcterms:created>
  <dcterms:modified xsi:type="dcterms:W3CDTF">2013-12-23T23:15:00Z</dcterms:modified>
  <cp:category/>
</cp:coreProperties>
</file>