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Electro Mart process and implementation guide</w:t>
      </w:r>
    </w:p>
    <w:p>
      <w:pPr>
        <w:pStyle w:val="Subtitle"/>
      </w:pPr>
      <w:r>
        <w:t>Operating the simulation and understanding its implementation</w:t>
      </w:r>
    </w:p>
    <w:p>
      <w:pPr>
        <w:pStyle w:val="Caption"/>
      </w:pPr>
      <w:r>
        <w:t>Version 1   |   22 October 2026   |   Application reference: electro-mart-3d-simulation.html</w:t>
      </w:r>
    </w:p>
    <w:p>
      <w:pPr>
        <w:pStyle w:val="Heading2"/>
      </w:pPr>
      <w:r>
        <w:t>Purpose and scope</w:t>
      </w:r>
    </w:p>
    <w:p>
      <w:r>
        <w:t>This guide explains how the electronics store simulation operates, how customer and staff behaviour is implemented, and how to use its outputs. It is intended for operations managers, analysts and developers who need to review or extend the model.</w:t>
      </w:r>
    </w:p>
    <w:p>
      <w:r>
        <w:t>The application is suitable for exploring operational hypotheses. Its layout, persona mix and default inputs are illustrative. It has not been calibrated or validated against a real shop, and it does not calculate labour cost, revenue, margin or return on investment.</w:t>
      </w:r>
    </w:p>
    <w:p>
      <w:r>
        <w:t>Technically, this is an agent simulation with state transitions, advanced in fixed steps of 0.1 simulated seconds. Arrivals, requests, service completions and departures are represented as events within those steps. The engine does not use a next-event scheduling algorithm.</w:t>
      </w:r>
    </w:p>
    <w:p>
      <w:pPr>
        <w:pStyle w:val="Heading2"/>
      </w:pPr>
      <w:r>
        <w:t>Operating procedure</w:t>
      </w:r>
    </w:p>
    <w:p>
      <w:r>
        <w:rPr>
          <w:b/>
        </w:rPr>
        <w:t xml:space="preserve">1  Open the application. </w:t>
      </w:r>
      <w:r>
        <w:t>Download the HTML file and open it in a modern browser with WebGL and internet access. Three.js r160 loads from a pinned CDN; the application logic, styles and persona icons are included in the file.</w:t>
      </w:r>
    </w:p>
    <w:p>
      <w:r>
        <w:rPr>
          <w:b/>
        </w:rPr>
        <w:t xml:space="preserve">2  Choose the starting conditions. </w:t>
      </w:r>
      <w:r>
        <w:t>Select Typical day, Busy shop or Help under pressure. A preset starts a new run, resets parameters to its assumed values and clears imported observations.</w:t>
      </w:r>
    </w:p>
    <w:p>
      <w:r>
        <w:rPr>
          <w:b/>
        </w:rPr>
        <w:t xml:space="preserve">3  Inspect the behaviour. </w:t>
      </w:r>
      <w:r>
        <w:t>Use Pause and the 1×, 5×, 20× or 60× controls. Select a shopper to inspect their destination, activity, elapsed visit, distance and remaining activity time or patience.</w:t>
      </w:r>
    </w:p>
    <w:p>
      <w:r>
        <w:rPr>
          <w:b/>
        </w:rPr>
        <w:t xml:space="preserve">4  Change or calibrate inputs. </w:t>
      </w:r>
      <w:r>
        <w:t>Open Model settings. Edit assumptions or import observations. Existing activities retain their sampled durations; changes generally affect new arrivals, reservations and activities.</w:t>
      </w:r>
    </w:p>
    <w:p>
      <w:r>
        <w:rPr>
          <w:b/>
        </w:rPr>
        <w:t xml:space="preserve">5  Compare runs. </w:t>
      </w:r>
      <w:r>
        <w:t>Record the settings and observation period before restarting. Restart clears people, paths and counters while retaining current settings and imported samples. Reloading the page returns to defaults; no saved run store is implemented.</w:t>
      </w:r>
    </w:p>
    <w:p>
      <w:pPr>
        <w:pStyle w:val="Heading2"/>
      </w:pPr>
      <w:r>
        <w:t>How to read the guide</w:t>
      </w:r>
    </w:p>
    <w:p>
      <w:r>
        <w:t>Sections 2 to 4 explain the operational process. Sections 5 and 6 document parameters and observation data. Sections 7 and 8 describe the implementation and evidence. Section 9 sets out the additional work required for operational and cost decisions.</w:t>
      </w:r>
    </w:p>
    <w:p>
      <w:pPr>
        <w:pStyle w:val="Heading1"/>
        <w:pageBreakBefore/>
      </w:pPr>
      <w:r>
        <w:t>2 Customer journey and decision process</w:t>
      </w:r>
    </w:p>
    <w:p>
      <w:r>
        <w:t>Every admitted customer receives a persona, a planned itinerary, a walking speed and a patience threshold. The itinerary can change in response to crowding, product-finding errors and unavailable help.</w:t>
      </w:r>
    </w:p>
    <w:p>
      <w:r>
        <w:drawing>
          <wp:inline xmlns:a="http://schemas.openxmlformats.org/drawingml/2006/main" xmlns:pic="http://schemas.openxmlformats.org/drawingml/2006/picture">
            <wp:extent cx="6446520" cy="1396746"/>
            <wp:docPr id="1" name="Picture 1" descr="Customer process from arrival through destination choice and activity to departure, with a loop for help or replanning."/>
            <wp:cNvGraphicFramePr>
              <a:graphicFrameLocks noChangeAspect="1"/>
            </wp:cNvGraphicFramePr>
            <a:graphic>
              <a:graphicData uri="http://schemas.openxmlformats.org/drawingml/2006/picture">
                <pic:pic>
                  <pic:nvPicPr>
                    <pic:cNvPr id="0" name="customer-process.png"/>
                    <pic:cNvPicPr/>
                  </pic:nvPicPr>
                  <pic:blipFill>
                    <a:blip r:embed="rId11"/>
                    <a:stretch>
                      <a:fillRect/>
                    </a:stretch>
                  </pic:blipFill>
                  <pic:spPr>
                    <a:xfrm>
                      <a:off x="0" y="0"/>
                      <a:ext cx="6446520" cy="1396746"/>
                    </a:xfrm>
                    <a:prstGeom prst="rect"/>
                  </pic:spPr>
                </pic:pic>
              </a:graphicData>
            </a:graphic>
          </wp:inline>
        </w:drawing>
      </w:r>
    </w:p>
    <w:p>
      <w:pPr>
        <w:pStyle w:val="Caption"/>
      </w:pPr>
      <w:r>
        <w:t>Process overview. The detailed conditions below determine each transition.</w:t>
      </w:r>
    </w:p>
    <w:p>
      <w:r>
        <w:rPr>
          <w:b/>
        </w:rPr>
        <w:t xml:space="preserve">1  Arrival and admission. </w:t>
      </w:r>
      <w:r>
        <w:t>Random interarrival times generate customers. If all four entrance cells are occupied or reserved, the arrival waits outside. Customers abandon that outside queue when their entrance patience expires. Inside-store patience is sampled separately on admission.</w:t>
      </w:r>
    </w:p>
    <w:p>
      <w:r>
        <w:rPr>
          <w:b/>
        </w:rPr>
        <w:t xml:space="preserve">2  Destination selection. </w:t>
      </w:r>
      <w:r>
        <w:t>The persona defines fixed destinations or a range of browsing stops. Researcher and First-time buyer itineraries include the advice desk. Bargain hunters favour Featured products; technology enthusiasts start with Gaming.</w:t>
      </w:r>
    </w:p>
    <w:p>
      <w:r>
        <w:rPr>
          <w:b/>
        </w:rPr>
        <w:t xml:space="preserve">3  Browsing and finding products. </w:t>
      </w:r>
      <w:r>
        <w:t>A display position is reserved before the customer walks to it. Several customers can browse simultaneously. A full display can trigger an alternative stop and one retry, or departure. A finding error sends the shopper to another display, followed by 20 to 60 seconds of searching and a request for directions.</w:t>
      </w:r>
    </w:p>
    <w:p>
      <w:r>
        <w:rPr>
          <w:b/>
        </w:rPr>
        <w:t xml:space="preserve">4  Requesting help or joining a counter queue. </w:t>
      </w:r>
      <w:r>
        <w:t>A customer may request a mobile assistant after browsing. Advice, service and checkout use separate counter queues. Patience can lead to refusal to join a queue or abandonment after joining. An advice customer may switch to a mobile assistant if help has not already been requested.</w:t>
      </w:r>
    </w:p>
    <w:p>
      <w:r>
        <w:rPr>
          <w:b/>
        </w:rPr>
        <w:t xml:space="preserve">5  Purchase decision. </w:t>
      </w:r>
      <w:r>
        <w:t>After the itinerary, customers who have browsed may decide to buy. The base probability is modified by purchase propensity, successful assistance and accumulated frustration. A positive decision adds checkout to the itinerary; it is not yet a purchase.</w:t>
      </w:r>
    </w:p>
    <w:p>
      <w:r>
        <w:rPr>
          <w:b/>
        </w:rPr>
        <w:t xml:space="preserve">6  Departure and accounting. </w:t>
      </w:r>
      <w:r>
        <w:t>Checkout completion records a purchase, except for Quick collectors, whose transactions are collections. Normal and early departures are counted when a customer reaches an exit cell. Outside abandonment is counted separately. A completed visit can be a browse-only or service visit.</w:t>
      </w:r>
    </w:p>
    <w:p>
      <w:pPr>
        <w:pStyle w:val="Heading1"/>
        <w:pageBreakBefore/>
      </w:pPr>
      <w:r>
        <w:t>3 Persona definitions</w:t>
      </w:r>
    </w:p>
    <w:p>
      <w:r>
        <w:t>Personas are behavioural profiles. They determine destinations and influence speed, dwell time, patience, help requests and finding errors. The engine shuffles a deck containing one of each persona; each complete group of ten arrivals therefore contains all ten profiles. The mix is not an editable control or an observed distribution.</w:t>
      </w:r>
    </w:p>
    <w:tbl>
      <w:tblPr>
        <w:tblW w:type="auto" w:w="0"/>
        <w:jc w:val="center"/>
        <w:tblLayout w:type="fixed"/>
        <w:tblLook w:firstColumn="1" w:firstRow="1" w:lastColumn="0" w:lastRow="0" w:noHBand="0" w:noVBand="1" w:val="04A0"/>
      </w:tblPr>
      <w:tblGrid>
        <w:gridCol w:w="3384"/>
        <w:gridCol w:w="4248"/>
        <w:gridCol w:w="1296"/>
        <w:gridCol w:w="1296"/>
      </w:tblGrid>
      <w:tr>
        <w:trPr>
          <w:tblHeader/>
          <w:cantSplit/>
        </w:trPr>
        <w:tc>
          <w:tcPr>
            <w:tcW w:type="dxa" w:w="3384"/>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color w:val="FFFFFF"/>
                <w:sz w:val="20"/>
              </w:rPr>
              <w:t>Persona and icon</w:t>
            </w:r>
          </w:p>
        </w:tc>
        <w:tc>
          <w:tcPr>
            <w:tcW w:type="dxa" w:w="4248"/>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color w:val="FFFFFF"/>
                <w:sz w:val="20"/>
              </w:rPr>
              <w:t>Planned visit</w:t>
            </w:r>
          </w:p>
        </w:tc>
        <w:tc>
          <w:tcPr>
            <w:tcW w:type="dxa" w:w="1296"/>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color w:val="FFFFFF"/>
                <w:sz w:val="20"/>
              </w:rPr>
              <w:t>Base buy</w:t>
            </w:r>
          </w:p>
        </w:tc>
        <w:tc>
          <w:tcPr>
            <w:tcW w:type="dxa" w:w="1296"/>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color w:val="FFFFFF"/>
                <w:sz w:val="20"/>
              </w:rPr>
              <w:t>Help</w:t>
            </w:r>
          </w:p>
        </w:tc>
      </w:tr>
      <w:tr>
        <w:trPr>
          <w:cantSplit/>
        </w:trPr>
        <w:tc>
          <w:tcPr>
            <w:tcW w:type="dxa" w:w="338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Browser · eye</w:t>
            </w:r>
          </w:p>
        </w:tc>
        <w:tc>
          <w:tcPr>
            <w:tcW w:type="dxa" w:w="4248"/>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3–5 browsing stops</w:t>
            </w:r>
          </w:p>
        </w:tc>
        <w:tc>
          <w:tcPr>
            <w:tcW w:type="dxa" w:w="12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15%</w:t>
            </w:r>
          </w:p>
        </w:tc>
        <w:tc>
          <w:tcPr>
            <w:tcW w:type="dxa" w:w="12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10%</w:t>
            </w:r>
          </w:p>
        </w:tc>
      </w:tr>
      <w:tr>
        <w:trPr>
          <w:cantSplit/>
        </w:trPr>
        <w:tc>
          <w:tcPr>
            <w:tcW w:type="dxa" w:w="338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Ready buyer · cart</w:t>
            </w:r>
          </w:p>
        </w:tc>
        <w:tc>
          <w:tcPr>
            <w:tcW w:type="dxa" w:w="4248"/>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1 browsing stop</w:t>
            </w:r>
          </w:p>
        </w:tc>
        <w:tc>
          <w:tcPr>
            <w:tcW w:type="dxa" w:w="12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95%</w:t>
            </w:r>
          </w:p>
        </w:tc>
        <w:tc>
          <w:tcPr>
            <w:tcW w:type="dxa" w:w="12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30%</w:t>
            </w:r>
          </w:p>
        </w:tc>
      </w:tr>
      <w:tr>
        <w:trPr>
          <w:cantSplit/>
        </w:trPr>
        <w:tc>
          <w:tcPr>
            <w:tcW w:type="dxa" w:w="338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Researcher · search</w:t>
            </w:r>
          </w:p>
        </w:tc>
        <w:tc>
          <w:tcPr>
            <w:tcW w:type="dxa" w:w="4248"/>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2–4 browsing stops and advice</w:t>
            </w:r>
          </w:p>
        </w:tc>
        <w:tc>
          <w:tcPr>
            <w:tcW w:type="dxa" w:w="12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20%</w:t>
            </w:r>
          </w:p>
        </w:tc>
        <w:tc>
          <w:tcPr>
            <w:tcW w:type="dxa" w:w="12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80%</w:t>
            </w:r>
          </w:p>
        </w:tc>
      </w:tr>
      <w:tr>
        <w:trPr>
          <w:cantSplit/>
        </w:trPr>
        <w:tc>
          <w:tcPr>
            <w:tcW w:type="dxa" w:w="338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Bargain hunter · tag</w:t>
            </w:r>
          </w:p>
        </w:tc>
        <w:tc>
          <w:tcPr>
            <w:tcW w:type="dxa" w:w="4248"/>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2–3 stops; Featured first</w:t>
            </w:r>
          </w:p>
        </w:tc>
        <w:tc>
          <w:tcPr>
            <w:tcW w:type="dxa" w:w="12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55%</w:t>
            </w:r>
          </w:p>
        </w:tc>
        <w:tc>
          <w:tcPr>
            <w:tcW w:type="dxa" w:w="12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30%</w:t>
            </w:r>
          </w:p>
        </w:tc>
      </w:tr>
      <w:tr>
        <w:trPr>
          <w:cantSplit/>
        </w:trPr>
        <w:tc>
          <w:tcPr>
            <w:tcW w:type="dxa" w:w="338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Tech enthusiast · chip</w:t>
            </w:r>
          </w:p>
        </w:tc>
        <w:tc>
          <w:tcPr>
            <w:tcW w:type="dxa" w:w="4248"/>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3–4 stops; Gaming first</w:t>
            </w:r>
          </w:p>
        </w:tc>
        <w:tc>
          <w:tcPr>
            <w:tcW w:type="dxa" w:w="12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45%</w:t>
            </w:r>
          </w:p>
        </w:tc>
        <w:tc>
          <w:tcPr>
            <w:tcW w:type="dxa" w:w="12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60%</w:t>
            </w:r>
          </w:p>
        </w:tc>
      </w:tr>
      <w:tr>
        <w:trPr>
          <w:cantSplit/>
        </w:trPr>
        <w:tc>
          <w:tcPr>
            <w:tcW w:type="dxa" w:w="338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First-time buyer · question</w:t>
            </w:r>
          </w:p>
        </w:tc>
        <w:tc>
          <w:tcPr>
            <w:tcW w:type="dxa" w:w="4248"/>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1–2 browsing stops and advice</w:t>
            </w:r>
          </w:p>
        </w:tc>
        <w:tc>
          <w:tcPr>
            <w:tcW w:type="dxa" w:w="12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80%</w:t>
            </w:r>
          </w:p>
        </w:tc>
        <w:tc>
          <w:tcPr>
            <w:tcW w:type="dxa" w:w="12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90%</w:t>
            </w:r>
          </w:p>
        </w:tc>
      </w:tr>
      <w:tr>
        <w:trPr>
          <w:cantSplit/>
        </w:trPr>
        <w:tc>
          <w:tcPr>
            <w:tcW w:type="dxa" w:w="338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Repair visitor · wrench</w:t>
            </w:r>
          </w:p>
        </w:tc>
        <w:tc>
          <w:tcPr>
            <w:tcW w:type="dxa" w:w="4248"/>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Service counter</w:t>
            </w:r>
          </w:p>
        </w:tc>
        <w:tc>
          <w:tcPr>
            <w:tcW w:type="dxa" w:w="12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0%</w:t>
            </w:r>
          </w:p>
        </w:tc>
        <w:tc>
          <w:tcPr>
            <w:tcW w:type="dxa" w:w="12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0%</w:t>
            </w:r>
          </w:p>
        </w:tc>
      </w:tr>
      <w:tr>
        <w:trPr>
          <w:cantSplit/>
        </w:trPr>
        <w:tc>
          <w:tcPr>
            <w:tcW w:type="dxa" w:w="338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Returns customer · return arrow</w:t>
            </w:r>
          </w:p>
        </w:tc>
        <w:tc>
          <w:tcPr>
            <w:tcW w:type="dxa" w:w="4248"/>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Service counter</w:t>
            </w:r>
          </w:p>
        </w:tc>
        <w:tc>
          <w:tcPr>
            <w:tcW w:type="dxa" w:w="12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0%</w:t>
            </w:r>
          </w:p>
        </w:tc>
        <w:tc>
          <w:tcPr>
            <w:tcW w:type="dxa" w:w="12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0%</w:t>
            </w:r>
          </w:p>
        </w:tc>
      </w:tr>
      <w:tr>
        <w:trPr>
          <w:cantSplit/>
        </w:trPr>
        <w:tc>
          <w:tcPr>
            <w:tcW w:type="dxa" w:w="338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Quick collector · package</w:t>
            </w:r>
          </w:p>
        </w:tc>
        <w:tc>
          <w:tcPr>
            <w:tcW w:type="dxa" w:w="4248"/>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Checkout and collection</w:t>
            </w:r>
          </w:p>
        </w:tc>
        <w:tc>
          <w:tcPr>
            <w:tcW w:type="dxa" w:w="12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0%</w:t>
            </w:r>
          </w:p>
        </w:tc>
        <w:tc>
          <w:tcPr>
            <w:tcW w:type="dxa" w:w="12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0%</w:t>
            </w:r>
          </w:p>
        </w:tc>
      </w:tr>
      <w:tr>
        <w:trPr>
          <w:cantSplit/>
        </w:trPr>
        <w:tc>
          <w:tcPr>
            <w:tcW w:type="dxa" w:w="338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Accessory buyer · cable</w:t>
            </w:r>
          </w:p>
        </w:tc>
        <w:tc>
          <w:tcPr>
            <w:tcW w:type="dxa" w:w="4248"/>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Accessories</w:t>
            </w:r>
          </w:p>
        </w:tc>
        <w:tc>
          <w:tcPr>
            <w:tcW w:type="dxa" w:w="12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90%</w:t>
            </w:r>
          </w:p>
        </w:tc>
        <w:tc>
          <w:tcPr>
            <w:tcW w:type="dxa" w:w="12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20%</w:t>
            </w:r>
          </w:p>
        </w:tc>
      </w:tr>
    </w:tbl>
    <w:p>
      <w:pPr>
        <w:spacing w:after="20"/>
      </w:pPr>
    </w:p>
    <w:p>
      <w:pPr>
        <w:pStyle w:val="Caption"/>
      </w:pPr>
      <w:r>
        <w:t>Base buy is an assumed probability for eligible shoppers who have browsed. Help is the probability of a product-help request after a browsing stop, provided no previous help request was made. Neither column is a measured conversion or assistance rate.</w:t>
      </w:r>
    </w:p>
    <w:p>
      <w:pPr>
        <w:pStyle w:val="Heading2"/>
      </w:pPr>
      <w:r>
        <w:t>How the profile changes activity</w:t>
      </w:r>
    </w:p>
    <w:p>
      <w:r>
        <w:t>Without observations, browsing and counter-service durations use the base duration, the persona dwell factor and a random factor from 0.55 to 1.45, with a one-second minimum. Patience uses the same random range with its own persona factor; assistant help uses that range without a persona adjustment. Walking speed uses its base, a persona factor and random variation from 0.85 to 1.15, with a minimum of 0.2 m/s. Researchers dwell longer; Quick collectors have shorter service and patience factors.</w:t>
      </w:r>
    </w:p>
    <w:p>
      <w:r>
        <w:t>After a help request, the helpUsed flag suppresses further routine product-help requests and switching from the advice queue to an assistant. A later product-finding error can still trigger a directions request; the rule is not a universal one-request limit. Successful help reduces frustration and increases purchase probability by 12% relative to the base. Each unit of frustration multiplies that probability by approximately 0.80; the result is bounded between zero and one.</w:t>
      </w:r>
    </w:p>
    <w:p>
      <w:pPr>
        <w:pStyle w:val="Heading2"/>
      </w:pPr>
      <w:r>
        <w:t>What would require a code change</w:t>
      </w:r>
    </w:p>
    <w:p>
      <w:r>
        <w:t>Changing the number of personas, their arrival weights, itinerary rules, profile factors or repeat-request rules requires editing the profiles and decision methods in ShopFloorModel. The interface exposes shared operating inputs rather than a persona editor. Demographics, household groups and linked customer visits are not modelled.</w:t>
      </w:r>
    </w:p>
    <w:p>
      <w:pPr>
        <w:pStyle w:val="Heading1"/>
        <w:pageBreakBefore/>
      </w:pPr>
      <w:r>
        <w:t>4 Capacity queues and staff movement</w:t>
      </w:r>
    </w:p>
    <w:p>
      <w:pPr>
        <w:pStyle w:val="Heading2"/>
      </w:pPr>
      <w:r>
        <w:t>Shared display capacity</w:t>
      </w:r>
    </w:p>
    <w:p>
      <w:r>
        <w:t>Each of the seven browsing zones has six physical positions: four in front and one on each side. The Shared places per display setting limits active reservations from one to six. Customers reserve positions while travelling, so reserved capacity can exceed the number currently shown browsing at the display. There is no FIFO browsing queue.</w:t>
      </w:r>
    </w:p>
    <w:p>
      <w:pPr>
        <w:pStyle w:val="Heading2"/>
      </w:pPr>
      <w:r>
        <w:t>Counter service</w:t>
      </w:r>
    </w:p>
    <w:p>
      <w:r>
        <w:t>Checkout, Service and Advice each have one dedicated server. Each has up to eight places, including the person receiving service. Customers join the end of the queue and move forward in order; service begins only when the first customer reaches the service position and the server is free.</w:t>
      </w:r>
    </w:p>
    <w:p>
      <w:r>
        <w:t>The estimated wait is the active service time remaining plus the configured or observed mean service time for each waiting customer ahead. If this estimate exceeds patience, or all permitted places are taken, the customer declines to queue. Actual waiting is checked against patience after joining. Lowering capacity does not remove people already admitted.</w:t>
      </w:r>
    </w:p>
    <w:p>
      <w:pPr>
        <w:pStyle w:val="Heading2"/>
      </w:pPr>
      <w:r>
        <w:t>Roaming assistants</w:t>
      </w:r>
    </w:p>
    <w:p>
      <w:r>
        <w:t>A1 and A2 each have a separate request list. The assignment score combines the number of existing requests multiplied by the configured help duration with estimated travel time to the customer. The assistant with the lower score receives the request. This is a simple workload heuristic; it does not use the current job’s remaining duration or the imported help distribution in the assignment score.</w:t>
      </w:r>
    </w:p>
    <w:p>
      <w:r>
        <w:t>Customers wait where they requested help. The assistant serves the first valid request and walks to a free adjacent cell. Service starts on arrival. Requests are removed if the customer leaves or abandons help. Without requests, assistants periodically move near the display with the most customers who have not yet requested help; if there is no demand, they rotate between areas.</w:t>
      </w:r>
    </w:p>
    <w:p>
      <w:pPr>
        <w:pStyle w:val="Heading2"/>
      </w:pPr>
      <w:r>
        <w:t>Movement and congestion</w:t>
      </w:r>
    </w:p>
    <w:p>
      <w:r>
        <w:t>The store is an 18 by 30 grid of 0.8 m cells, representing 14.4 by 24 m. Fixtures and the stock area block cells. A breadth-first search finds a route through currently free cells using four-direction movement. Each moving person retains their source cell and reserves the destination cell until the move finishes.</w:t>
      </w:r>
    </w:p>
    <w:p>
      <w:r>
        <w:t>These reservations prevent shared cells and direct swaps. Routes are reconsidered when blocked, with a short retry interval. Rotating movement priority reduces repeated advantage at contested cells. If a walking customer makes no progress beyond their patience threshold, they may leave because of congestion. This is a spatial approximation, not a continuous pedestrian dynamics model.</w:t>
      </w:r>
    </w:p>
    <w:p>
      <w:pPr>
        <w:pStyle w:val="Heading2"/>
      </w:pPr>
      <w:r>
        <w:t>Staffing limits</w:t>
      </w:r>
    </w:p>
    <w:p>
      <w:r>
        <w:t>The current application fixes two mobile assistants and one server per counter. Changing staff numbers, skills, shifts, breaks, server pooling or cross-cover requires code changes. The Counter places control changes queue capacity, not staffing.</w:t>
      </w:r>
    </w:p>
    <w:p>
      <w:pPr>
        <w:pStyle w:val="Heading1"/>
        <w:pageBreakBefore/>
      </w:pPr>
      <w:r>
        <w:t>5 Parameters scenarios and controls</w:t>
      </w:r>
    </w:p>
    <w:p>
      <w:r>
        <w:t>The following defaults apply to Typical day. Duration values are base means before persona adjustments and random variation. Imported samples replace the corresponding assumed sampling rule.</w:t>
      </w:r>
    </w:p>
    <w:tbl>
      <w:tblPr>
        <w:tblW w:type="auto" w:w="0"/>
        <w:jc w:val="center"/>
        <w:tblLayout w:type="fixed"/>
        <w:tblLook w:firstColumn="1" w:firstRow="1" w:lastColumn="0" w:lastRow="0" w:noHBand="0" w:noVBand="1" w:val="04A0"/>
      </w:tblPr>
      <w:tblGrid>
        <w:gridCol w:w="5184"/>
        <w:gridCol w:w="1944"/>
        <w:gridCol w:w="3096"/>
      </w:tblGrid>
      <w:tr>
        <w:trPr>
          <w:tblHeader/>
          <w:cantSplit/>
        </w:trPr>
        <w:tc>
          <w:tcPr>
            <w:tcW w:type="dxa" w:w="5184"/>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color w:val="FFFFFF"/>
                <w:sz w:val="20"/>
              </w:rPr>
              <w:t>Interface setting</w:t>
            </w:r>
          </w:p>
        </w:tc>
        <w:tc>
          <w:tcPr>
            <w:tcW w:type="dxa" w:w="1944"/>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color w:val="FFFFFF"/>
                <w:sz w:val="20"/>
              </w:rPr>
              <w:t>Default</w:t>
            </w:r>
          </w:p>
        </w:tc>
        <w:tc>
          <w:tcPr>
            <w:tcW w:type="dxa" w:w="3096"/>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color w:val="FFFFFF"/>
                <w:sz w:val="20"/>
              </w:rPr>
              <w:t>Permitted input</w:t>
            </w:r>
          </w:p>
        </w:tc>
      </w:tr>
      <w:tr>
        <w:trPr>
          <w:cantSplit/>
        </w:trPr>
        <w:tc>
          <w:tcPr>
            <w:tcW w:type="dxa" w:w="518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Arrivals per hour</w:t>
            </w:r>
          </w:p>
        </w:tc>
        <w:tc>
          <w:tcPr>
            <w:tcW w:type="dxa" w:w="194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120</w:t>
            </w:r>
          </w:p>
        </w:tc>
        <w:tc>
          <w:tcPr>
            <w:tcW w:type="dxa" w:w="30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0–3,600</w:t>
            </w:r>
          </w:p>
        </w:tc>
      </w:tr>
      <w:tr>
        <w:trPr>
          <w:cantSplit/>
        </w:trPr>
        <w:tc>
          <w:tcPr>
            <w:tcW w:type="dxa" w:w="518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Walking speed</w:t>
            </w:r>
          </w:p>
        </w:tc>
        <w:tc>
          <w:tcPr>
            <w:tcW w:type="dxa" w:w="194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1.1 m/s</w:t>
            </w:r>
          </w:p>
        </w:tc>
        <w:tc>
          <w:tcPr>
            <w:tcW w:type="dxa" w:w="30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0.2–3 m/s</w:t>
            </w:r>
          </w:p>
        </w:tc>
      </w:tr>
      <w:tr>
        <w:trPr>
          <w:cantSplit/>
        </w:trPr>
        <w:tc>
          <w:tcPr>
            <w:tcW w:type="dxa" w:w="518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Browsing time</w:t>
            </w:r>
          </w:p>
        </w:tc>
        <w:tc>
          <w:tcPr>
            <w:tcW w:type="dxa" w:w="194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150 s</w:t>
            </w:r>
          </w:p>
        </w:tc>
        <w:tc>
          <w:tcPr>
            <w:tcW w:type="dxa" w:w="30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1–7,200 s</w:t>
            </w:r>
          </w:p>
        </w:tc>
      </w:tr>
      <w:tr>
        <w:trPr>
          <w:cantSplit/>
        </w:trPr>
        <w:tc>
          <w:tcPr>
            <w:tcW w:type="dxa" w:w="518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Checkout time</w:t>
            </w:r>
          </w:p>
        </w:tc>
        <w:tc>
          <w:tcPr>
            <w:tcW w:type="dxa" w:w="194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90 s</w:t>
            </w:r>
          </w:p>
        </w:tc>
        <w:tc>
          <w:tcPr>
            <w:tcW w:type="dxa" w:w="30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1–7,200 s</w:t>
            </w:r>
          </w:p>
        </w:tc>
      </w:tr>
      <w:tr>
        <w:trPr>
          <w:cantSplit/>
        </w:trPr>
        <w:tc>
          <w:tcPr>
            <w:tcW w:type="dxa" w:w="518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Service time</w:t>
            </w:r>
          </w:p>
        </w:tc>
        <w:tc>
          <w:tcPr>
            <w:tcW w:type="dxa" w:w="194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300 s</w:t>
            </w:r>
          </w:p>
        </w:tc>
        <w:tc>
          <w:tcPr>
            <w:tcW w:type="dxa" w:w="30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1–7,200 s</w:t>
            </w:r>
          </w:p>
        </w:tc>
      </w:tr>
      <w:tr>
        <w:trPr>
          <w:cantSplit/>
        </w:trPr>
        <w:tc>
          <w:tcPr>
            <w:tcW w:type="dxa" w:w="518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Advice time</w:t>
            </w:r>
          </w:p>
        </w:tc>
        <w:tc>
          <w:tcPr>
            <w:tcW w:type="dxa" w:w="194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180 s</w:t>
            </w:r>
          </w:p>
        </w:tc>
        <w:tc>
          <w:tcPr>
            <w:tcW w:type="dxa" w:w="30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1–7,200 s</w:t>
            </w:r>
          </w:p>
        </w:tc>
      </w:tr>
      <w:tr>
        <w:trPr>
          <w:cantSplit/>
        </w:trPr>
        <w:tc>
          <w:tcPr>
            <w:tcW w:type="dxa" w:w="518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Assistant help time</w:t>
            </w:r>
          </w:p>
        </w:tc>
        <w:tc>
          <w:tcPr>
            <w:tcW w:type="dxa" w:w="194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150 s</w:t>
            </w:r>
          </w:p>
        </w:tc>
        <w:tc>
          <w:tcPr>
            <w:tcW w:type="dxa" w:w="30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1–7,200 s</w:t>
            </w:r>
          </w:p>
        </w:tc>
      </w:tr>
      <w:tr>
        <w:trPr>
          <w:cantSplit/>
        </w:trPr>
        <w:tc>
          <w:tcPr>
            <w:tcW w:type="dxa" w:w="518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Patience</w:t>
            </w:r>
          </w:p>
        </w:tc>
        <w:tc>
          <w:tcPr>
            <w:tcW w:type="dxa" w:w="194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240 s</w:t>
            </w:r>
          </w:p>
        </w:tc>
        <w:tc>
          <w:tcPr>
            <w:tcW w:type="dxa" w:w="30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1–7,200 s</w:t>
            </w:r>
          </w:p>
        </w:tc>
      </w:tr>
      <w:tr>
        <w:trPr>
          <w:cantSplit/>
        </w:trPr>
        <w:tc>
          <w:tcPr>
            <w:tcW w:type="dxa" w:w="518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Purchase propensity multiplier</w:t>
            </w:r>
          </w:p>
        </w:tc>
        <w:tc>
          <w:tcPr>
            <w:tcW w:type="dxa" w:w="194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1.0</w:t>
            </w:r>
          </w:p>
        </w:tc>
        <w:tc>
          <w:tcPr>
            <w:tcW w:type="dxa" w:w="30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0–2</w:t>
            </w:r>
          </w:p>
        </w:tc>
      </w:tr>
      <w:tr>
        <w:trPr>
          <w:cantSplit/>
        </w:trPr>
        <w:tc>
          <w:tcPr>
            <w:tcW w:type="dxa" w:w="518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Finding-error probability</w:t>
            </w:r>
          </w:p>
        </w:tc>
        <w:tc>
          <w:tcPr>
            <w:tcW w:type="dxa" w:w="194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0.12</w:t>
            </w:r>
          </w:p>
        </w:tc>
        <w:tc>
          <w:tcPr>
            <w:tcW w:type="dxa" w:w="30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0–1</w:t>
            </w:r>
          </w:p>
        </w:tc>
      </w:tr>
      <w:tr>
        <w:trPr>
          <w:cantSplit/>
        </w:trPr>
        <w:tc>
          <w:tcPr>
            <w:tcW w:type="dxa" w:w="518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Shared places per display</w:t>
            </w:r>
          </w:p>
        </w:tc>
        <w:tc>
          <w:tcPr>
            <w:tcW w:type="dxa" w:w="1944"/>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6</w:t>
            </w:r>
          </w:p>
        </w:tc>
        <w:tc>
          <w:tcPr>
            <w:tcW w:type="dxa" w:w="309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Whole numbers 1–6</w:t>
            </w:r>
          </w:p>
        </w:tc>
      </w:tr>
      <w:tr>
        <w:trPr>
          <w:cantSplit/>
        </w:trPr>
        <w:tc>
          <w:tcPr>
            <w:tcW w:type="dxa" w:w="518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Counter places including service</w:t>
            </w:r>
          </w:p>
        </w:tc>
        <w:tc>
          <w:tcPr>
            <w:tcW w:type="dxa" w:w="1944"/>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jc w:val="center"/>
            </w:pPr>
            <w:r>
              <w:rPr>
                <w:b w:val="0"/>
                <w:color w:val="000000"/>
                <w:sz w:val="20"/>
              </w:rPr>
              <w:t>8</w:t>
            </w:r>
          </w:p>
        </w:tc>
        <w:tc>
          <w:tcPr>
            <w:tcW w:type="dxa" w:w="309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Whole numbers 1–8</w:t>
            </w:r>
          </w:p>
        </w:tc>
      </w:tr>
    </w:tbl>
    <w:p>
      <w:pPr>
        <w:spacing w:after="20"/>
      </w:pPr>
    </w:p>
    <w:p>
      <w:pPr>
        <w:pStyle w:val="Heading2"/>
      </w:pPr>
      <w:r>
        <w:t>Scenario presets</w:t>
      </w:r>
    </w:p>
    <w:tbl>
      <w:tblPr>
        <w:tblW w:type="auto" w:w="0"/>
        <w:jc w:val="center"/>
        <w:tblLayout w:type="fixed"/>
        <w:tblLook w:firstColumn="1" w:firstRow="1" w:lastColumn="0" w:lastRow="0" w:noHBand="0" w:noVBand="1" w:val="04A0"/>
      </w:tblPr>
      <w:tblGrid>
        <w:gridCol w:w="2448"/>
        <w:gridCol w:w="7776"/>
      </w:tblGrid>
      <w:tr>
        <w:trPr>
          <w:tblHeader/>
          <w:cantSplit/>
        </w:trPr>
        <w:tc>
          <w:tcPr>
            <w:tcW w:type="dxa" w:w="2448"/>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color w:val="FFFFFF"/>
                <w:sz w:val="20"/>
              </w:rPr>
              <w:t>Preset</w:t>
            </w:r>
          </w:p>
        </w:tc>
        <w:tc>
          <w:tcPr>
            <w:tcW w:type="dxa" w:w="7776"/>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color w:val="FFFFFF"/>
                <w:sz w:val="20"/>
              </w:rPr>
              <w:t>Changes from Typical day</w:t>
            </w:r>
          </w:p>
        </w:tc>
      </w:tr>
      <w:tr>
        <w:trPr>
          <w:cantSplit/>
        </w:trPr>
        <w:tc>
          <w:tcPr>
            <w:tcW w:type="dxa" w:w="2448"/>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Typical day</w:t>
            </w:r>
          </w:p>
        </w:tc>
        <w:tc>
          <w:tcPr>
            <w:tcW w:type="dxa" w:w="777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Uses all defaults above.</w:t>
            </w:r>
          </w:p>
        </w:tc>
      </w:tr>
      <w:tr>
        <w:trPr>
          <w:cantSplit/>
        </w:trPr>
        <w:tc>
          <w:tcPr>
            <w:tcW w:type="dxa" w:w="2448"/>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Busy shop</w:t>
            </w:r>
          </w:p>
        </w:tc>
        <w:tc>
          <w:tcPr>
            <w:tcW w:type="dxa" w:w="777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360 arrivals per hour; patience 180 seconds.</w:t>
            </w:r>
          </w:p>
        </w:tc>
      </w:tr>
      <w:tr>
        <w:trPr>
          <w:cantSplit/>
        </w:trPr>
        <w:tc>
          <w:tcPr>
            <w:tcW w:type="dxa" w:w="2448"/>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Help under pressure</w:t>
            </w:r>
          </w:p>
        </w:tc>
        <w:tc>
          <w:tcPr>
            <w:tcW w:type="dxa" w:w="777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180 arrivals per hour; patience 120 seconds; help 300 seconds; finding-error probability 0.30.</w:t>
            </w:r>
          </w:p>
        </w:tc>
      </w:tr>
    </w:tbl>
    <w:p>
      <w:pPr>
        <w:spacing w:after="20"/>
      </w:pPr>
    </w:p>
    <w:p>
      <w:r>
        <w:t>Choosing any preset starts a fresh run and clears observations. Restart retains current assumptions and samples. A new run is random; the interface provides no random-seed control or automatic scenario comparison.</w:t>
      </w:r>
    </w:p>
    <w:p>
      <w:pPr>
        <w:pStyle w:val="Heading2"/>
      </w:pPr>
      <w:r>
        <w:t>Viewing and inspection</w:t>
      </w:r>
    </w:p>
    <w:p>
      <w:r>
        <w:t>Drag to orbit; use the wheel or a two-finger pinch to zoom. Shift-drag or right-drag pans. Top view and 3D view reset the camera. Paths and Labels toggle overlays. Select a shopper or an assistant request to inspect the associated journey; Clear restores all shoppers.</w:t>
      </w:r>
    </w:p>
    <w:p>
      <w:r>
        <w:t>Green rings show activity time remaining. Amber and red rings show patience remaining. The question badge identifies a shopper waiting for mobile help. After departure, the path remains selectable among recent completed visits; older unselected records are pruned once more than 50 completed records are retained and they are over 60 simulated seconds old.</w:t>
      </w:r>
    </w:p>
    <w:p>
      <w:pPr>
        <w:pStyle w:val="Heading1"/>
        <w:pageBreakBefore/>
      </w:pPr>
      <w:r>
        <w:t>6 Importing observed data</w:t>
      </w:r>
    </w:p>
    <w:p>
      <w:r>
        <w:t>Use Model settings to download the blank CSV template, enter observations and import the file. Leave unknown fields blank. The importer accepts files up to 1,000,000 bytes and requires a header plus at least one row with a recognised valid observation.</w:t>
      </w:r>
    </w:p>
    <w:tbl>
      <w:tblPr>
        <w:tblW w:type="auto" w:w="0"/>
        <w:jc w:val="center"/>
        <w:tblLayout w:type="fixed"/>
        <w:tblLook w:firstColumn="1" w:firstRow="1" w:lastColumn="0" w:lastRow="0" w:noHBand="0" w:noVBand="1" w:val="04A0"/>
      </w:tblPr>
      <w:tblGrid>
        <w:gridCol w:w="2376"/>
        <w:gridCol w:w="4680"/>
        <w:gridCol w:w="3168"/>
      </w:tblGrid>
      <w:tr>
        <w:trPr>
          <w:tblHeader/>
          <w:cantSplit/>
        </w:trPr>
        <w:tc>
          <w:tcPr>
            <w:tcW w:type="dxa" w:w="2376"/>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color w:val="FFFFFF"/>
                <w:sz w:val="20"/>
              </w:rPr>
              <w:t>CSV field</w:t>
            </w:r>
          </w:p>
        </w:tc>
        <w:tc>
          <w:tcPr>
            <w:tcW w:type="dxa" w:w="4680"/>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color w:val="FFFFFF"/>
                <w:sz w:val="20"/>
              </w:rPr>
              <w:t>Meaning</w:t>
            </w:r>
          </w:p>
        </w:tc>
        <w:tc>
          <w:tcPr>
            <w:tcW w:type="dxa" w:w="3168"/>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color w:val="FFFFFF"/>
                <w:sz w:val="20"/>
              </w:rPr>
              <w:t>Accepted values</w:t>
            </w:r>
          </w:p>
        </w:tc>
      </w:tr>
      <w:tr>
        <w:trPr>
          <w:cantSplit/>
        </w:trPr>
        <w:tc>
          <w:tcPr>
            <w:tcW w:type="dxa" w:w="237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interarrival_s</w:t>
            </w:r>
          </w:p>
        </w:tc>
        <w:tc>
          <w:tcPr>
            <w:tcW w:type="dxa" w:w="4680"/>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Time between successive arrivals</w:t>
            </w:r>
          </w:p>
        </w:tc>
        <w:tc>
          <w:tcPr>
            <w:tcW w:type="dxa" w:w="3168"/>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0.1–86,400 s</w:t>
            </w:r>
          </w:p>
        </w:tc>
      </w:tr>
      <w:tr>
        <w:trPr>
          <w:cantSplit/>
        </w:trPr>
        <w:tc>
          <w:tcPr>
            <w:tcW w:type="dxa" w:w="237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walking_m_s</w:t>
            </w:r>
          </w:p>
        </w:tc>
        <w:tc>
          <w:tcPr>
            <w:tcW w:type="dxa" w:w="4680"/>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Observed walking speed</w:t>
            </w:r>
          </w:p>
        </w:tc>
        <w:tc>
          <w:tcPr>
            <w:tcW w:type="dxa" w:w="3168"/>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0.05–5 m/s</w:t>
            </w:r>
          </w:p>
        </w:tc>
      </w:tr>
      <w:tr>
        <w:trPr>
          <w:cantSplit/>
        </w:trPr>
        <w:tc>
          <w:tcPr>
            <w:tcW w:type="dxa" w:w="237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browse_s</w:t>
            </w:r>
          </w:p>
        </w:tc>
        <w:tc>
          <w:tcPr>
            <w:tcW w:type="dxa" w:w="4680"/>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Browsing duration</w:t>
            </w:r>
          </w:p>
        </w:tc>
        <w:tc>
          <w:tcPr>
            <w:tcW w:type="dxa" w:w="3168"/>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0.1–86,400 s</w:t>
            </w:r>
          </w:p>
        </w:tc>
      </w:tr>
      <w:tr>
        <w:trPr>
          <w:cantSplit/>
        </w:trPr>
        <w:tc>
          <w:tcPr>
            <w:tcW w:type="dxa" w:w="237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checkout_s</w:t>
            </w:r>
          </w:p>
        </w:tc>
        <w:tc>
          <w:tcPr>
            <w:tcW w:type="dxa" w:w="4680"/>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Checkout duration</w:t>
            </w:r>
          </w:p>
        </w:tc>
        <w:tc>
          <w:tcPr>
            <w:tcW w:type="dxa" w:w="3168"/>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0.1–86,400 s</w:t>
            </w:r>
          </w:p>
        </w:tc>
      </w:tr>
      <w:tr>
        <w:trPr>
          <w:cantSplit/>
        </w:trPr>
        <w:tc>
          <w:tcPr>
            <w:tcW w:type="dxa" w:w="237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service_s</w:t>
            </w:r>
          </w:p>
        </w:tc>
        <w:tc>
          <w:tcPr>
            <w:tcW w:type="dxa" w:w="4680"/>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Service-counter duration</w:t>
            </w:r>
          </w:p>
        </w:tc>
        <w:tc>
          <w:tcPr>
            <w:tcW w:type="dxa" w:w="3168"/>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0.1–86,400 s</w:t>
            </w:r>
          </w:p>
        </w:tc>
      </w:tr>
      <w:tr>
        <w:trPr>
          <w:cantSplit/>
        </w:trPr>
        <w:tc>
          <w:tcPr>
            <w:tcW w:type="dxa" w:w="237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advice_s</w:t>
            </w:r>
          </w:p>
        </w:tc>
        <w:tc>
          <w:tcPr>
            <w:tcW w:type="dxa" w:w="4680"/>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Advice duration</w:t>
            </w:r>
          </w:p>
        </w:tc>
        <w:tc>
          <w:tcPr>
            <w:tcW w:type="dxa" w:w="3168"/>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0.1–86,400 s</w:t>
            </w:r>
          </w:p>
        </w:tc>
      </w:tr>
      <w:tr>
        <w:trPr>
          <w:cantSplit/>
        </w:trPr>
        <w:tc>
          <w:tcPr>
            <w:tcW w:type="dxa" w:w="237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help_s</w:t>
            </w:r>
          </w:p>
        </w:tc>
        <w:tc>
          <w:tcPr>
            <w:tcW w:type="dxa" w:w="4680"/>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Mobile-assistant help duration</w:t>
            </w:r>
          </w:p>
        </w:tc>
        <w:tc>
          <w:tcPr>
            <w:tcW w:type="dxa" w:w="3168"/>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0.1–86,400 s</w:t>
            </w:r>
          </w:p>
        </w:tc>
      </w:tr>
      <w:tr>
        <w:trPr>
          <w:cantSplit/>
        </w:trPr>
        <w:tc>
          <w:tcPr>
            <w:tcW w:type="dxa" w:w="237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patience_s</w:t>
            </w:r>
          </w:p>
        </w:tc>
        <w:tc>
          <w:tcPr>
            <w:tcW w:type="dxa" w:w="4680"/>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Abandonment threshold</w:t>
            </w:r>
          </w:p>
        </w:tc>
        <w:tc>
          <w:tcPr>
            <w:tcW w:type="dxa" w:w="3168"/>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0.1–86,400 s</w:t>
            </w:r>
          </w:p>
        </w:tc>
      </w:tr>
      <w:tr>
        <w:trPr>
          <w:cantSplit/>
        </w:trPr>
        <w:tc>
          <w:tcPr>
            <w:tcW w:type="dxa" w:w="237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persona</w:t>
            </w:r>
          </w:p>
        </w:tc>
        <w:tc>
          <w:tcPr>
            <w:tcW w:type="dxa" w:w="4680"/>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Profile for a purchase observation</w:t>
            </w:r>
          </w:p>
        </w:tc>
        <w:tc>
          <w:tcPr>
            <w:tcW w:type="dxa" w:w="3168"/>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Exact persona name or blank</w:t>
            </w:r>
          </w:p>
        </w:tc>
      </w:tr>
      <w:tr>
        <w:trPr>
          <w:cantSplit/>
        </w:trPr>
        <w:tc>
          <w:tcPr>
            <w:tcW w:type="dxa" w:w="237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purchased</w:t>
            </w:r>
          </w:p>
        </w:tc>
        <w:tc>
          <w:tcPr>
            <w:tcW w:type="dxa" w:w="4680"/>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Purchase outcome for that observation</w:t>
            </w:r>
          </w:p>
        </w:tc>
        <w:tc>
          <w:tcPr>
            <w:tcW w:type="dxa" w:w="3168"/>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0 or 1</w:t>
            </w:r>
          </w:p>
        </w:tc>
      </w:tr>
    </w:tbl>
    <w:p>
      <w:pPr>
        <w:spacing w:after="20"/>
      </w:pPr>
    </w:p>
    <w:p>
      <w:pPr>
        <w:pStyle w:val="Heading2"/>
      </w:pPr>
      <w:r>
        <w:t>How observations are used</w:t>
      </w:r>
    </w:p>
    <w:p>
      <w:r>
        <w:t>Imported durations, speeds and interarrival times are sampled directly, with replacement. They bypass the normal persona multipliers for those fields. Timing columns are pooled globally: the persona column applies only to purchase outcomes. Columns are sampled independently, so relationships between values in the same CSV row are not preserved.</w:t>
      </w:r>
    </w:p>
    <w:p>
      <w:r>
        <w:t>For purchase observations, the mean of the 0/1 values becomes the base probability for the named persona, or for all eligible shoppers if the persona is blank. A persona-specific group takes precedence over the global group. Assistance and frustration still modify that base; importing purchases therefore does not guarantee that the simulated conversion rate will reproduce the observed rate.</w:t>
      </w:r>
    </w:p>
    <w:p>
      <w:pPr>
        <w:pStyle w:val="Heading2"/>
      </w:pPr>
      <w:r>
        <w:t>Replacement and validation rules</w:t>
      </w:r>
    </w:p>
    <w:p>
      <w:r>
        <w:t>Importing a new CSV replaces all previously imported samples. Fields omitted from the new file return to their configured assumptions. Editing a timing input clears its samples; editing Arrivals clears interarrival samples; editing Purchase propensity clears purchase samples. Invalid files are rejected before replacing existing observations. Duplicate headers, malformed quoting and out-of-range recognised values generate errors; unrecognised columns are ignored.</w:t>
      </w:r>
    </w:p>
    <w:p>
      <w:pPr>
        <w:pStyle w:val="Heading2"/>
      </w:pPr>
      <w:r>
        <w:t>Preparing a defensible dataset</w:t>
      </w:r>
    </w:p>
    <w:p>
      <w:r>
        <w:t>Record the observation period, operating conditions and sampling method. Separate service duration from waiting. Patience should represent a threshold for abandonment, not simply the observed wait of someone who was served. Compare the imported mix and timing distributions with the population being modelled, and retain a separate period for validation.</w:t>
      </w:r>
    </w:p>
    <w:p>
      <w:pPr>
        <w:pStyle w:val="Heading1"/>
        <w:pageBreakBefore/>
      </w:pPr>
      <w:r>
        <w:t>7 Software implementation</w:t>
      </w:r>
    </w:p>
    <w:p>
      <w:r>
        <w:t>The downloadable HTML contains the model class, interface markup and styling, and a Three.js scene. The development files electromart-engine.js and electromart-renderer.js are embedded in that delivered file. No application backend or database is required.</w:t>
      </w:r>
    </w:p>
    <w:tbl>
      <w:tblPr>
        <w:tblW w:type="auto" w:w="0"/>
        <w:jc w:val="center"/>
        <w:tblLayout w:type="fixed"/>
        <w:tblLook w:firstColumn="1" w:firstRow="1" w:lastColumn="0" w:lastRow="0" w:noHBand="0" w:noVBand="1" w:val="04A0"/>
      </w:tblPr>
      <w:tblGrid>
        <w:gridCol w:w="2016"/>
        <w:gridCol w:w="3456"/>
        <w:gridCol w:w="4752"/>
      </w:tblGrid>
      <w:tr>
        <w:trPr>
          <w:tblHeader/>
          <w:cantSplit/>
        </w:trPr>
        <w:tc>
          <w:tcPr>
            <w:tcW w:type="dxa" w:w="2016"/>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color w:val="FFFFFF"/>
                <w:sz w:val="20"/>
              </w:rPr>
              <w:t>Responsibility</w:t>
            </w:r>
          </w:p>
        </w:tc>
        <w:tc>
          <w:tcPr>
            <w:tcW w:type="dxa" w:w="3456"/>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color w:val="FFFFFF"/>
                <w:sz w:val="20"/>
              </w:rPr>
              <w:t>Code entry points</w:t>
            </w:r>
          </w:p>
        </w:tc>
        <w:tc>
          <w:tcPr>
            <w:tcW w:type="dxa" w:w="4752"/>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color w:val="FFFFFF"/>
                <w:sz w:val="20"/>
              </w:rPr>
              <w:t>Implementation</w:t>
            </w:r>
          </w:p>
        </w:tc>
      </w:tr>
      <w:tr>
        <w:trPr>
          <w:cantSplit/>
        </w:trPr>
        <w:tc>
          <w:tcPr>
            <w:tcW w:type="dxa" w:w="201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Initialise the model</w:t>
            </w:r>
          </w:p>
        </w:tc>
        <w:tc>
          <w:tcPr>
            <w:tcW w:type="dxa" w:w="345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ShopFloorModel constructor</w:t>
            </w:r>
          </w:p>
        </w:tc>
        <w:tc>
          <w:tcPr>
            <w:tcW w:type="dxa" w:w="4752"/>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Creates zones, profiles, settings, staff and occupancy maps.</w:t>
            </w:r>
          </w:p>
        </w:tc>
      </w:tr>
      <w:tr>
        <w:trPr>
          <w:cantSplit/>
        </w:trPr>
        <w:tc>
          <w:tcPr>
            <w:tcW w:type="dxa" w:w="201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Generate and admit demand</w:t>
            </w:r>
          </w:p>
        </w:tc>
        <w:tc>
          <w:tcPr>
            <w:tcW w:type="dxa" w:w="345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interarrival, queueArrival, admit</w:t>
            </w:r>
          </w:p>
        </w:tc>
        <w:tc>
          <w:tcPr>
            <w:tcW w:type="dxa" w:w="4752"/>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Schedules arrivals, manages the outside queue and creates customers.</w:t>
            </w:r>
          </w:p>
        </w:tc>
      </w:tr>
      <w:tr>
        <w:trPr>
          <w:cantSplit/>
        </w:trPr>
        <w:tc>
          <w:tcPr>
            <w:tcW w:type="dxa" w:w="201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Select destinations</w:t>
            </w:r>
          </w:p>
        </w:tc>
        <w:tc>
          <w:tcPr>
            <w:tcW w:type="dxa" w:w="345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itinerary, nextVisit, reserveBrowse</w:t>
            </w:r>
          </w:p>
        </w:tc>
        <w:tc>
          <w:tcPr>
            <w:tcW w:type="dxa" w:w="4752"/>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Builds and revises visits and reserves display positions.</w:t>
            </w:r>
          </w:p>
        </w:tc>
      </w:tr>
      <w:tr>
        <w:trPr>
          <w:cantSplit/>
        </w:trPr>
        <w:tc>
          <w:tcPr>
            <w:tcW w:type="dxa" w:w="201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Manage counters</w:t>
            </w:r>
          </w:p>
        </w:tc>
        <w:tc>
          <w:tcPr>
            <w:tcW w:type="dxa" w:w="345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joinQueue, giveUpQueue, removeQueue</w:t>
            </w:r>
          </w:p>
        </w:tc>
        <w:tc>
          <w:tcPr>
            <w:tcW w:type="dxa" w:w="4752"/>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Applies admission, patience and FIFO rules.</w:t>
            </w:r>
          </w:p>
        </w:tc>
      </w:tr>
      <w:tr>
        <w:trPr>
          <w:cantSplit/>
        </w:trPr>
        <w:tc>
          <w:tcPr>
            <w:tcW w:type="dxa" w:w="201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Provide mobile help</w:t>
            </w:r>
          </w:p>
        </w:tc>
        <w:tc>
          <w:tcPr>
            <w:tcW w:type="dxa" w:w="345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requestHelp, staffDecision, finishHelp, noHelp</w:t>
            </w:r>
          </w:p>
        </w:tc>
        <w:tc>
          <w:tcPr>
            <w:tcW w:type="dxa" w:w="4752"/>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Assigns requests, routes assistants and resolves help or abandonment.</w:t>
            </w:r>
          </w:p>
        </w:tc>
      </w:tr>
      <w:tr>
        <w:trPr>
          <w:cantSplit/>
        </w:trPr>
        <w:tc>
          <w:tcPr>
            <w:tcW w:type="dxa" w:w="201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Move people</w:t>
            </w:r>
          </w:p>
        </w:tc>
        <w:tc>
          <w:tcPr>
            <w:tcW w:type="dxa" w:w="345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route, walk, motionStep, free</w:t>
            </w:r>
          </w:p>
        </w:tc>
        <w:tc>
          <w:tcPr>
            <w:tcW w:type="dxa" w:w="4752"/>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Finds routes and maintains occupancy and destination reservations.</w:t>
            </w:r>
          </w:p>
        </w:tc>
      </w:tr>
      <w:tr>
        <w:trPr>
          <w:cantSplit/>
        </w:trPr>
        <w:tc>
          <w:tcPr>
            <w:tcW w:type="dxa" w:w="201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Record outcomes</w:t>
            </w:r>
          </w:p>
        </w:tc>
        <w:tc>
          <w:tcPr>
            <w:tcW w:type="dxa" w:w="345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record, finishCustomer, customerDecision</w:t>
            </w:r>
          </w:p>
        </w:tc>
        <w:tc>
          <w:tcPr>
            <w:tcW w:type="dxa" w:w="4752"/>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Stores traces, departures, completed service and purchases.</w:t>
            </w:r>
          </w:p>
        </w:tc>
      </w:tr>
      <w:tr>
        <w:trPr>
          <w:cantSplit/>
        </w:trPr>
        <w:tc>
          <w:tcPr>
            <w:tcW w:type="dxa" w:w="201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Present the model</w:t>
            </w:r>
          </w:p>
        </w:tc>
        <w:tc>
          <w:tcPr>
            <w:tcW w:type="dxa" w:w="3456"/>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build3D, frame3D, hudUpdate, updateInspector</w:t>
            </w:r>
          </w:p>
        </w:tc>
        <w:tc>
          <w:tcPr>
            <w:tcW w:type="dxa" w:w="4752"/>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Renders the scene and reads model state for labels, metrics and inspection.</w:t>
            </w:r>
          </w:p>
        </w:tc>
      </w:tr>
      <w:tr>
        <w:trPr>
          <w:cantSplit/>
        </w:trPr>
        <w:tc>
          <w:tcPr>
            <w:tcW w:type="dxa" w:w="201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Apply input changes</w:t>
            </w:r>
          </w:p>
        </w:tc>
        <w:tc>
          <w:tcPr>
            <w:tcW w:type="dxa" w:w="3456"/>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parseCSV, applyObservations, setSetting, restart</w:t>
            </w:r>
          </w:p>
        </w:tc>
        <w:tc>
          <w:tcPr>
            <w:tcW w:type="dxa" w:w="4752"/>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Validates observations and manages settings and new runs.</w:t>
            </w:r>
          </w:p>
        </w:tc>
      </w:tr>
    </w:tbl>
    <w:p>
      <w:pPr>
        <w:spacing w:after="20"/>
      </w:pPr>
    </w:p>
    <w:p>
      <w:pPr>
        <w:pStyle w:val="Heading2"/>
      </w:pPr>
      <w:r>
        <w:t>The simulation update cycle</w:t>
      </w:r>
    </w:p>
    <w:p>
      <w:r>
        <w:t>For each 0.1-second step, the engine advances the clock, generates due arrivals, removes expired outside waits and admits customers through free gates. It then updates movement, customer decisions and assistant decisions, allocates new movements in rotating order, records paths and removes completed customers.</w:t>
      </w:r>
    </w:p>
    <w:p>
      <w:r>
        <w:t>The browser animation loop accumulates elapsed display time multiplied by the selected playback speed and consumes it in model steps. Rendering interpolates positions within movements. A paused or hidden page does not advance the simulation. Frame elapsed time is capped at 0.1 seconds and at most 100 model steps run per frame, so slow devices may run below the selected wall-clock speed.</w:t>
      </w:r>
    </w:p>
    <w:p>
      <w:pPr>
        <w:pStyle w:val="Heading2"/>
      </w:pPr>
      <w:r>
        <w:t>Paths and rendering</w:t>
      </w:r>
    </w:p>
    <w:p>
      <w:r>
        <w:t>Trace points are stored in model coordinates. Collinear points are combined while preserving the route; the renderer refreshes a path when its endpoint changes, even if point count is unchanged. Outside demand has no model headcount cap, but only the first 16 outside figures are drawn. The displayed Outside count includes the full queue.</w:t>
      </w:r>
    </w:p>
    <w:p>
      <w:pPr>
        <w:pStyle w:val="Heading1"/>
        <w:pageBreakBefore/>
      </w:pPr>
      <w:r>
        <w:t>8 Metrics and verification</w:t>
      </w:r>
    </w:p>
    <w:p>
      <w:r>
        <w:t>All headline metrics are derived from the current run. They reset on Restart or a preset change. They are descriptive simulation outputs; no target attainment, cost or statistical confidence interval is calculated in the interface.</w:t>
      </w:r>
    </w:p>
    <w:tbl>
      <w:tblPr>
        <w:tblW w:type="auto" w:w="0"/>
        <w:jc w:val="center"/>
        <w:tblLayout w:type="fixed"/>
        <w:tblLook w:firstColumn="1" w:firstRow="1" w:lastColumn="0" w:lastRow="0" w:noHBand="0" w:noVBand="1" w:val="04A0"/>
      </w:tblPr>
      <w:tblGrid>
        <w:gridCol w:w="2952"/>
        <w:gridCol w:w="7272"/>
      </w:tblGrid>
      <w:tr>
        <w:trPr>
          <w:tblHeader/>
          <w:cantSplit/>
        </w:trPr>
        <w:tc>
          <w:tcPr>
            <w:tcW w:type="dxa" w:w="2952"/>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color w:val="FFFFFF"/>
                <w:sz w:val="20"/>
              </w:rPr>
              <w:t>Metric</w:t>
            </w:r>
          </w:p>
        </w:tc>
        <w:tc>
          <w:tcPr>
            <w:tcW w:type="dxa" w:w="7272"/>
            <w:vAlign w:val="center"/>
            <w:shd w:fill="243D52"/>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color w:val="FFFFFF"/>
                <w:sz w:val="20"/>
              </w:rPr>
              <w:t>Current definition</w:t>
            </w:r>
          </w:p>
        </w:tc>
      </w:tr>
      <w:tr>
        <w:trPr>
          <w:cantSplit/>
        </w:trPr>
        <w:tc>
          <w:tcPr>
            <w:tcW w:type="dxa" w:w="2952"/>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In store</w:t>
            </w:r>
          </w:p>
        </w:tc>
        <w:tc>
          <w:tcPr>
            <w:tcW w:type="dxa" w:w="7272"/>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Active admitted customers, including people walking towards the exit.</w:t>
            </w:r>
          </w:p>
        </w:tc>
      </w:tr>
      <w:tr>
        <w:trPr>
          <w:cantSplit/>
        </w:trPr>
        <w:tc>
          <w:tcPr>
            <w:tcW w:type="dxa" w:w="2952"/>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Outside</w:t>
            </w:r>
          </w:p>
        </w:tc>
        <w:tc>
          <w:tcPr>
            <w:tcW w:type="dxa" w:w="7272"/>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Arrivals still waiting to enter; excludes those already admitted or abandoned.</w:t>
            </w:r>
          </w:p>
        </w:tc>
      </w:tr>
      <w:tr>
        <w:trPr>
          <w:cantSplit/>
        </w:trPr>
        <w:tc>
          <w:tcPr>
            <w:tcW w:type="dxa" w:w="2952"/>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Purchases completed</w:t>
            </w:r>
          </w:p>
        </w:tc>
        <w:tc>
          <w:tcPr>
            <w:tcW w:type="dxa" w:w="7272"/>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Checkout completions excluding collection-only transactions.</w:t>
            </w:r>
          </w:p>
        </w:tc>
      </w:tr>
      <w:tr>
        <w:trPr>
          <w:cantSplit/>
        </w:trPr>
        <w:tc>
          <w:tcPr>
            <w:tcW w:type="dxa" w:w="2952"/>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Visits completed</w:t>
            </w:r>
          </w:p>
        </w:tc>
        <w:tc>
          <w:tcPr>
            <w:tcW w:type="dxa" w:w="7272"/>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Departed admitted customers with no early-exit reason; includes visits without a purchase.</w:t>
            </w:r>
          </w:p>
        </w:tc>
      </w:tr>
      <w:tr>
        <w:trPr>
          <w:cantSplit/>
        </w:trPr>
        <w:tc>
          <w:tcPr>
            <w:tcW w:type="dxa" w:w="2952"/>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Left early or gave up</w:t>
            </w:r>
          </w:p>
        </w:tc>
        <w:tc>
          <w:tcPr>
            <w:tcW w:type="dxa" w:w="7272"/>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Early departures after entry plus outside-queue abandonment.</w:t>
            </w:r>
          </w:p>
        </w:tc>
      </w:tr>
      <w:tr>
        <w:trPr>
          <w:cantSplit/>
        </w:trPr>
        <w:tc>
          <w:tcPr>
            <w:tcW w:type="dxa" w:w="2952"/>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Helped by assistants</w:t>
            </w:r>
          </w:p>
        </w:tc>
        <w:tc>
          <w:tcPr>
            <w:tcW w:type="dxa" w:w="7272"/>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Completed mobile-assistant help interactions; excludes dedicated advice-counter service.</w:t>
            </w:r>
          </w:p>
        </w:tc>
      </w:tr>
      <w:tr>
        <w:trPr>
          <w:cantSplit/>
        </w:trPr>
        <w:tc>
          <w:tcPr>
            <w:tcW w:type="dxa" w:w="2952"/>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Plan changes</w:t>
            </w:r>
          </w:p>
        </w:tc>
        <w:tc>
          <w:tcPr>
            <w:tcW w:type="dxa" w:w="7272"/>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Recorded replanning events, not a count of distinct customers.</w:t>
            </w:r>
          </w:p>
        </w:tc>
      </w:tr>
      <w:tr>
        <w:trPr>
          <w:cantSplit/>
        </w:trPr>
        <w:tc>
          <w:tcPr>
            <w:tcW w:type="dxa" w:w="2952"/>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Mean wait to service</w:t>
            </w:r>
          </w:p>
        </w:tc>
        <w:tc>
          <w:tcPr>
            <w:tcW w:type="dxa" w:w="7272"/>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Total elapsed waits divided by service starts across counters and mobile assistance. Abandoned waits are excluded; a person can contribute several waits.</w:t>
            </w:r>
          </w:p>
        </w:tc>
      </w:tr>
      <w:tr>
        <w:trPr>
          <w:cantSplit/>
        </w:trPr>
        <w:tc>
          <w:tcPr>
            <w:tcW w:type="dxa" w:w="2952"/>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Mean finished visit</w:t>
            </w:r>
          </w:p>
        </w:tc>
        <w:tc>
          <w:tcPr>
            <w:tcW w:type="dxa" w:w="7272"/>
            <w:vAlign w:val="center"/>
            <w:shd w:fill="FFFFFF"/>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Total time inside for all departed admitted customers divided by normal plus early departures. Outside waiting is excluded.</w:t>
            </w:r>
          </w:p>
        </w:tc>
      </w:tr>
      <w:tr>
        <w:trPr>
          <w:cantSplit/>
        </w:trPr>
        <w:tc>
          <w:tcPr>
            <w:tcW w:type="dxa" w:w="2952"/>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Queue counts</w:t>
            </w:r>
          </w:p>
        </w:tc>
        <w:tc>
          <w:tcPr>
            <w:tcW w:type="dxa" w:w="7272"/>
            <w:vAlign w:val="center"/>
            <w:shd w:fill="F1F4F7"/>
            <w:tcMar>
              <w:top w:w="75" w:type="dxa"/>
              <w:bottom w:w="75" w:type="dxa"/>
              <w:left w:w="90" w:type="dxa"/>
              <w:right w:w="90" w:type="dxa"/>
            </w:tcMar>
            <w:tcBorders>
              <w:top w:val="single" w:sz="4" w:color="D9D9D9"/>
              <w:left w:val="single" w:sz="4" w:color="D9D9D9"/>
              <w:bottom w:val="single" w:sz="4" w:color="D9D9D9"/>
              <w:right w:val="single" w:sz="4" w:color="D9D9D9"/>
            </w:tcBorders>
          </w:tcPr>
          <w:p>
            <w:pPr>
              <w:spacing w:after="0" w:before="0" w:line="252" w:lineRule="auto"/>
            </w:pPr>
            <w:r>
              <w:rPr>
                <w:b w:val="0"/>
                <w:color w:val="000000"/>
                <w:sz w:val="20"/>
              </w:rPr>
              <w:t>Counter waiting excludes the person in service. Assistant request lists include the current job; their waiting label excludes it while helping.</w:t>
            </w:r>
          </w:p>
        </w:tc>
      </w:tr>
    </w:tbl>
    <w:p>
      <w:pPr>
        <w:spacing w:after="20"/>
      </w:pPr>
    </w:p>
    <w:p>
      <w:pPr>
        <w:pStyle w:val="Heading2"/>
      </w:pPr>
      <w:r>
        <w:t>Verification completed during development</w:t>
      </w:r>
    </w:p>
    <w:p>
      <w:r>
        <w:t>The engine checks cover exclusive occupancy, obstacle avoidance, display capacity, FIFO service at all three counters, help completion, abandonment, recorded purchases, valid observations and zero arrivals. A stress run reached 44 customers and six simultaneous browsers at one display. Sampled minimum separation was 0.8 m. The tested run drained after arrivals were stopped. These are checks of constructed cases, not a guarantee for every possible setting.</w:t>
      </w:r>
    </w:p>
    <w:p>
      <w:r>
        <w:t>Interface checks exercised scene construction, ten icons, selection, camera controls, path and label toggles, CSV import, manual overrides, restart and scenario changes. They ran against a simulated DOM with a captured Three.js scene. Full browser and mobile WebGL rendering was not verified because the available browser could not launch.</w:t>
      </w:r>
    </w:p>
    <w:p>
      <w:pPr>
        <w:pStyle w:val="Heading2"/>
      </w:pPr>
      <w:r>
        <w:t>Supporting files</w:t>
      </w:r>
    </w:p>
    <w:p>
      <w:r>
        <w:t>Behaviour checks: verify-electromart-engine.cjs. Interface and scene checks: verify-electromart-ui.cjs. The tests inspect the engine and renderer embedded in the HTML. The public GIF was rendered separately from the model and scene; it is not a live browser recording or evidence of operational validation.</w:t>
      </w:r>
    </w:p>
    <w:p>
      <w:pPr>
        <w:pStyle w:val="Heading1"/>
        <w:pageBreakBefore/>
      </w:pPr>
      <w:r>
        <w:t>9 Using the model for operational decisions</w:t>
      </w:r>
    </w:p>
    <w:p>
      <w:pPr>
        <w:pStyle w:val="Heading2"/>
      </w:pPr>
      <w:r>
        <w:t>A controlled comparison process</w:t>
      </w:r>
    </w:p>
    <w:p>
      <w:r>
        <w:rPr>
          <w:b/>
        </w:rPr>
        <w:t xml:space="preserve">1  Define the decision. </w:t>
      </w:r>
      <w:r>
        <w:t>Specify the proposed change, affected population, observation period and service measures. Establish whether the required change is available in the controls or requires a code extension.</w:t>
      </w:r>
    </w:p>
    <w:p>
      <w:r>
        <w:rPr>
          <w:b/>
        </w:rPr>
        <w:t xml:space="preserve">2  Establish a baseline. </w:t>
      </w:r>
      <w:r>
        <w:t>Use observed arrivals and activity durations, review the persona mix and layout, and compare simulated queues, completed work and departures with actual operations. Document assumptions that remain unmeasured.</w:t>
      </w:r>
    </w:p>
    <w:p>
      <w:r>
        <w:rPr>
          <w:b/>
        </w:rPr>
        <w:t xml:space="preserve">3  Run comparable experiments. </w:t>
      </w:r>
      <w:r>
        <w:t>Use the same simulated duration and consistent starting conditions. Allow for the initial empty-store period. Change one factor at a time where practical and repeat runs because random outcomes vary. Record inputs and results externally; the current interface has no results export or experiment manager.</w:t>
      </w:r>
    </w:p>
    <w:p>
      <w:r>
        <w:rPr>
          <w:b/>
        </w:rPr>
        <w:t xml:space="preserve">4  Assess the trade-off. </w:t>
      </w:r>
      <w:r>
        <w:t>Compare throughput, waiting, abandonment and staff travel before attaching financial values. Check who benefits and whether queues move to another part of the process. Test the preferred change in practice before wider deployment.</w:t>
      </w:r>
    </w:p>
    <w:p>
      <w:pPr>
        <w:pStyle w:val="Heading2"/>
      </w:pPr>
      <w:r>
        <w:t>Adding an operating cost assessment</w:t>
      </w:r>
    </w:p>
    <w:p>
      <w:r>
        <w:t>A financial assessment is a proposed extension. The current application has no wage rates, shift schedules, staff utilisation history, basket values, contribution margins or facility costs. It cannot substantiate a saving or a return on investment from the animation alone.</w:t>
      </w:r>
    </w:p>
    <w:p>
      <w:r>
        <w:t>A cost extension would record time by staff member and activity, paid staffing hours, completed transactions and relevant service outcomes. Paid hours multiplied by fully loaded hourly cost can estimate labour expense. Dividing defined operating cost by completed transactions or resolved service cases produces a cost per outcome, provided the denominator and included costs are consistent across scenarios.</w:t>
      </w:r>
    </w:p>
    <w:p>
      <w:r>
        <w:t>Potential lost contribution should use evidence about abandonment and purchase intent. Every early departure must not be treated as a lost sale. Compare incremental contribution and avoidable costs against the cost of the proposed change, with a range reflecting variation between runs.</w:t>
      </w:r>
    </w:p>
    <w:p>
      <w:pPr>
        <w:pStyle w:val="Heading2"/>
      </w:pPr>
      <w:r>
        <w:t>Limitations and extensions</w:t>
      </w:r>
    </w:p>
    <w:p>
      <w:r>
        <w:t>The layout, balanced persona mix, behaviours and probability adjustments are assumptions. Durations are independent, counters have one fixed server each, mobile staff are interchangeable and repeat product-help requests are suppressed. The model has no inventory, product prices, stockouts, staff breaks, skill constraints, appointments or linked groups. Timing observations are pooled rather than segmented by persona or time of day.</w:t>
      </w:r>
    </w:p>
    <w:p>
      <w:r>
        <w:t>An office or service-centre version would require new actor profiles, destinations, resources and completion rules. Merely renaming shop labels would leave retail behaviour in place. Capacity, service design and any cost model should be reviewed with the process owner before interpreting results.</w:t>
      </w:r>
    </w:p>
    <w:p>
      <w:pPr>
        <w:pStyle w:val="Caption"/>
      </w:pPr>
      <w:r>
        <w:t>Source basis: the delivered HTML and its embedded JavaScript, reviewed on 22 October 2026. This guide documents the current implementation and does not modify it.</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22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ELECTRO MART  |  PROCESS AND IMPLEMENTATION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before="240"/>
    </w:pPr>
    <w:rPr>
      <w:rFonts w:asciiTheme="majorHAnsi" w:eastAsiaTheme="majorEastAsia" w:hAnsiTheme="majorHAnsi" w:cstheme="majorBidi" w:ascii="Calibri" w:hAnsi="Calibri"/>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80"/>
    </w:pPr>
    <w:rPr>
      <w:rFonts w:ascii="Calibri" w:hAnsi="Calibri"/>
      <w:b w:val="0"/>
      <w:bCs/>
      <w:i w:val="0"/>
      <w:color w:val="555555"/>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 Mart process and implementation guide</dc:title>
  <dc:subject>Operating process and implementation of the electronics store simulation</dc:subject>
  <dc:creator/>
  <cp:keywords>simulation, process guide, personas, queues, operations</cp:keywords>
  <dc:description>generated by python-docx</dc:description>
  <cp:lastModifiedBy/>
  <cp:revision>1</cp:revision>
  <dcterms:created xsi:type="dcterms:W3CDTF">2013-12-23T23:15:00Z</dcterms:created>
  <dcterms:modified xsi:type="dcterms:W3CDTF">2013-12-23T23:15:00Z</dcterms:modified>
  <cp:category/>
</cp:coreProperties>
</file>